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EC" w:rsidRDefault="004642EC" w:rsidP="00D415E9">
      <w:pPr>
        <w:spacing w:line="360" w:lineRule="auto"/>
        <w:jc w:val="center"/>
        <w:rPr>
          <w:rFonts w:eastAsia="Arial"/>
          <w:b/>
          <w:color w:val="9A7200"/>
          <w:sz w:val="32"/>
          <w:szCs w:val="28"/>
        </w:rPr>
      </w:pPr>
    </w:p>
    <w:p w:rsidR="00D415E9" w:rsidRDefault="00D415E9" w:rsidP="00D415E9">
      <w:pPr>
        <w:spacing w:line="360" w:lineRule="auto"/>
        <w:jc w:val="center"/>
        <w:rPr>
          <w:rFonts w:eastAsia="Arial"/>
          <w:b/>
          <w:color w:val="9A7200"/>
          <w:sz w:val="32"/>
          <w:szCs w:val="28"/>
        </w:rPr>
      </w:pPr>
      <w:r w:rsidRPr="00C72DE8">
        <w:rPr>
          <w:rFonts w:eastAsia="Arial"/>
          <w:b/>
          <w:color w:val="9A7200"/>
          <w:sz w:val="32"/>
          <w:szCs w:val="28"/>
        </w:rPr>
        <w:t xml:space="preserve">Colégio de </w:t>
      </w:r>
      <w:r w:rsidR="00697B58">
        <w:rPr>
          <w:rFonts w:eastAsia="Arial"/>
          <w:b/>
          <w:color w:val="9A7200"/>
          <w:sz w:val="32"/>
          <w:szCs w:val="28"/>
        </w:rPr>
        <w:t>Neurorradiologia</w:t>
      </w:r>
      <w:r w:rsidR="003B55B1">
        <w:rPr>
          <w:rFonts w:eastAsia="Arial"/>
          <w:b/>
          <w:color w:val="9A7200"/>
          <w:sz w:val="32"/>
          <w:szCs w:val="28"/>
        </w:rPr>
        <w:t xml:space="preserve"> </w:t>
      </w:r>
    </w:p>
    <w:p w:rsidR="00D415E9" w:rsidRDefault="00697B58" w:rsidP="00610445">
      <w:pPr>
        <w:spacing w:after="240" w:line="360" w:lineRule="auto"/>
        <w:jc w:val="center"/>
        <w:rPr>
          <w:rFonts w:ascii="Verdana" w:eastAsia="Arial" w:hAnsi="Verdana" w:cs="Arial"/>
          <w:b/>
          <w:color w:val="9A7200"/>
          <w:sz w:val="20"/>
          <w:szCs w:val="20"/>
        </w:rPr>
      </w:pPr>
      <w:r>
        <w:rPr>
          <w:rFonts w:ascii="Verdana" w:eastAsia="Arial" w:hAnsi="Verdana" w:cs="Arial"/>
          <w:b/>
          <w:color w:val="9A7200"/>
          <w:sz w:val="20"/>
          <w:szCs w:val="20"/>
        </w:rPr>
        <w:t xml:space="preserve">Grelha de exame final de internato </w:t>
      </w:r>
    </w:p>
    <w:p w:rsidR="004642EC" w:rsidRDefault="004642EC" w:rsidP="00610445">
      <w:pPr>
        <w:spacing w:after="240" w:line="360" w:lineRule="auto"/>
        <w:jc w:val="center"/>
        <w:rPr>
          <w:rFonts w:ascii="Verdana" w:eastAsia="Arial" w:hAnsi="Verdana" w:cs="Arial"/>
          <w:b/>
          <w:color w:val="9A7200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>PROVA DE DISCUSSÃO CURRICULAR</w:t>
      </w:r>
      <w:r w:rsidRPr="00697B58">
        <w:rPr>
          <w:rFonts w:ascii="Verdana" w:hAnsi="Verdana"/>
          <w:color w:val="auto"/>
          <w:sz w:val="20"/>
          <w:szCs w:val="20"/>
          <w:vertAlign w:val="superscript"/>
        </w:rPr>
        <w:t>(a)</w:t>
      </w:r>
    </w:p>
    <w:p w:rsidR="00697B58" w:rsidRPr="00697B58" w:rsidRDefault="00697B58" w:rsidP="00697B58">
      <w:pPr>
        <w:tabs>
          <w:tab w:val="center" w:pos="4252"/>
          <w:tab w:val="left" w:pos="7240"/>
        </w:tabs>
        <w:spacing w:line="360" w:lineRule="auto"/>
        <w:rPr>
          <w:rFonts w:ascii="Verdana" w:hAnsi="Verdana"/>
          <w:b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ab/>
        <w:t>MAPA INDIVIDUAL DE AVALIAÇÃO CURRICULAR</w:t>
      </w:r>
      <w:r w:rsidRPr="00697B58">
        <w:rPr>
          <w:rFonts w:ascii="Verdana" w:hAnsi="Verdana"/>
          <w:b/>
          <w:color w:val="auto"/>
          <w:sz w:val="20"/>
          <w:szCs w:val="20"/>
        </w:rPr>
        <w:tab/>
      </w:r>
    </w:p>
    <w:p w:rsidR="00697B58" w:rsidRPr="00697B58" w:rsidRDefault="00697B58" w:rsidP="00697B58">
      <w:pPr>
        <w:spacing w:line="360" w:lineRule="auto"/>
        <w:rPr>
          <w:color w:val="auto"/>
        </w:rPr>
      </w:pPr>
    </w:p>
    <w:p w:rsidR="00697B58" w:rsidRDefault="00697B58" w:rsidP="00697B58">
      <w:pPr>
        <w:spacing w:line="360" w:lineRule="auto"/>
        <w:rPr>
          <w:color w:val="auto"/>
        </w:rPr>
      </w:pPr>
      <w:r w:rsidRPr="00697B58">
        <w:rPr>
          <w:color w:val="auto"/>
        </w:rPr>
        <w:t>Nome do Candidato:</w:t>
      </w:r>
    </w:p>
    <w:p w:rsidR="004642EC" w:rsidRPr="00697B58" w:rsidRDefault="004642EC" w:rsidP="00697B58">
      <w:pPr>
        <w:spacing w:line="360" w:lineRule="auto"/>
        <w:rPr>
          <w:color w:val="auto"/>
        </w:rPr>
      </w:pPr>
    </w:p>
    <w:tbl>
      <w:tblPr>
        <w:tblStyle w:val="Tabelacomgrelha"/>
        <w:tblW w:w="8725" w:type="dxa"/>
        <w:tblLayout w:type="fixed"/>
        <w:tblLook w:val="04A0"/>
      </w:tblPr>
      <w:tblGrid>
        <w:gridCol w:w="1896"/>
        <w:gridCol w:w="1897"/>
        <w:gridCol w:w="2836"/>
        <w:gridCol w:w="855"/>
        <w:gridCol w:w="1241"/>
      </w:tblGrid>
      <w:tr w:rsidR="00697B58" w:rsidRPr="00697B58" w:rsidTr="00697B58">
        <w:tc>
          <w:tcPr>
            <w:tcW w:w="3793" w:type="dxa"/>
            <w:gridSpan w:val="2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Elementos de avaliação curricular</w:t>
            </w:r>
          </w:p>
        </w:tc>
        <w:tc>
          <w:tcPr>
            <w:tcW w:w="3691" w:type="dxa"/>
            <w:gridSpan w:val="2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Cotação</w:t>
            </w:r>
          </w:p>
        </w:tc>
        <w:tc>
          <w:tcPr>
            <w:tcW w:w="1241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Avaliação quantitativa</w:t>
            </w:r>
          </w:p>
        </w:tc>
      </w:tr>
      <w:tr w:rsidR="00697B58" w:rsidRPr="00697B58" w:rsidTr="00697B58">
        <w:trPr>
          <w:trHeight w:val="730"/>
        </w:trPr>
        <w:tc>
          <w:tcPr>
            <w:tcW w:w="1896" w:type="dxa"/>
            <w:vMerge w:val="restart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 xml:space="preserve">Discussão curricular </w:t>
            </w:r>
            <w:r w:rsidRPr="00697B58">
              <w:rPr>
                <w:color w:val="auto"/>
                <w:sz w:val="20"/>
                <w:szCs w:val="20"/>
                <w:lang w:val="pt-PT"/>
              </w:rPr>
              <w:t>b)</w:t>
            </w:r>
          </w:p>
        </w:tc>
        <w:tc>
          <w:tcPr>
            <w:tcW w:w="1897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Descrição e análise da evolução da formação ao longo do internato, com incidência sobre os registos de avaliação contínua, previstos no nº 4 do artigo 72º</w:t>
            </w:r>
          </w:p>
        </w:tc>
        <w:tc>
          <w:tcPr>
            <w:tcW w:w="3691" w:type="dxa"/>
            <w:gridSpan w:val="2"/>
            <w:vMerge w:val="restart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 xml:space="preserve">0-12 </w:t>
            </w: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valores</w:t>
            </w:r>
            <w:proofErr w:type="gramEnd"/>
          </w:p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(8 valores obrigatórios para a média ponderada das classificações obtidas durante o internato; 4 valores para a o júri valorizar o curriculum e a sua discussão – ver nota b)</w:t>
            </w:r>
          </w:p>
        </w:tc>
        <w:tc>
          <w:tcPr>
            <w:tcW w:w="1241" w:type="dxa"/>
            <w:vMerge w:val="restart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730"/>
        </w:trPr>
        <w:tc>
          <w:tcPr>
            <w:tcW w:w="1896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897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 xml:space="preserve">Descrição e análise do contributo do trabalho do candidato </w:t>
            </w: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para</w:t>
            </w:r>
            <w:proofErr w:type="gramEnd"/>
            <w:r w:rsidRPr="00697B58">
              <w:rPr>
                <w:color w:val="auto"/>
                <w:sz w:val="20"/>
                <w:szCs w:val="20"/>
                <w:lang w:val="pt-PT"/>
              </w:rPr>
              <w:t xml:space="preserve"> os serviços e funcionamento dos mesmos</w:t>
            </w:r>
          </w:p>
        </w:tc>
        <w:tc>
          <w:tcPr>
            <w:tcW w:w="3691" w:type="dxa"/>
            <w:gridSpan w:val="2"/>
            <w:vMerge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534"/>
        </w:trPr>
        <w:tc>
          <w:tcPr>
            <w:tcW w:w="1896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897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Participação, dentro da especialidade, na formação de outros profissionais</w:t>
            </w:r>
          </w:p>
        </w:tc>
        <w:tc>
          <w:tcPr>
            <w:tcW w:w="3691" w:type="dxa"/>
            <w:gridSpan w:val="2"/>
            <w:vMerge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272"/>
        </w:trPr>
        <w:tc>
          <w:tcPr>
            <w:tcW w:w="3793" w:type="dxa"/>
            <w:gridSpan w:val="2"/>
          </w:tcPr>
          <w:p w:rsidR="00697B58" w:rsidRPr="00697B58" w:rsidRDefault="00697B58" w:rsidP="00697B58">
            <w:pPr>
              <w:spacing w:line="360" w:lineRule="auto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Frequência de estágios opcionais</w:t>
            </w:r>
            <w:r w:rsidRPr="00697B58">
              <w:rPr>
                <w:color w:val="auto"/>
                <w:sz w:val="20"/>
                <w:szCs w:val="20"/>
                <w:lang w:val="pt-PT"/>
              </w:rPr>
              <w:t xml:space="preserve"> (c)</w:t>
            </w:r>
          </w:p>
        </w:tc>
        <w:tc>
          <w:tcPr>
            <w:tcW w:w="3691" w:type="dxa"/>
            <w:gridSpan w:val="2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 xml:space="preserve">0-2 </w:t>
            </w: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valores</w:t>
            </w:r>
            <w:proofErr w:type="gramEnd"/>
          </w:p>
        </w:tc>
        <w:tc>
          <w:tcPr>
            <w:tcW w:w="1241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c>
          <w:tcPr>
            <w:tcW w:w="3793" w:type="dxa"/>
            <w:gridSpan w:val="2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 xml:space="preserve">Frequência e classificação de cursos cujo programa de formação seja de interesse </w:t>
            </w:r>
            <w:proofErr w:type="gramStart"/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para</w:t>
            </w:r>
            <w:proofErr w:type="gramEnd"/>
            <w:r w:rsidRPr="00697B58">
              <w:rPr>
                <w:b/>
                <w:color w:val="auto"/>
                <w:sz w:val="20"/>
                <w:szCs w:val="20"/>
                <w:lang w:val="pt-PT"/>
              </w:rPr>
              <w:t xml:space="preserve"> a especialidade</w:t>
            </w:r>
            <w:r w:rsidRPr="00697B58">
              <w:rPr>
                <w:color w:val="auto"/>
                <w:sz w:val="20"/>
                <w:szCs w:val="20"/>
                <w:lang w:val="pt-PT"/>
              </w:rPr>
              <w:t xml:space="preserve"> (d)</w:t>
            </w:r>
          </w:p>
        </w:tc>
        <w:tc>
          <w:tcPr>
            <w:tcW w:w="3691" w:type="dxa"/>
            <w:gridSpan w:val="2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 xml:space="preserve">0-2 </w:t>
            </w: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valores</w:t>
            </w:r>
            <w:proofErr w:type="gramEnd"/>
          </w:p>
        </w:tc>
        <w:tc>
          <w:tcPr>
            <w:tcW w:w="1241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 w:val="restart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Publicações</w:t>
            </w:r>
            <w:r w:rsidRPr="00697B58">
              <w:rPr>
                <w:color w:val="auto"/>
                <w:sz w:val="20"/>
                <w:szCs w:val="20"/>
                <w:lang w:val="pt-PT"/>
              </w:rPr>
              <w:t xml:space="preserve"> (e)</w:t>
            </w: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Tese doutoramento (20%)</w:t>
            </w:r>
          </w:p>
        </w:tc>
        <w:tc>
          <w:tcPr>
            <w:tcW w:w="855" w:type="dxa"/>
            <w:vMerge w:val="restart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 xml:space="preserve">0-2 </w:t>
            </w: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valores</w:t>
            </w:r>
            <w:proofErr w:type="gramEnd"/>
          </w:p>
        </w:tc>
        <w:tc>
          <w:tcPr>
            <w:tcW w:w="1241" w:type="dxa"/>
            <w:vMerge w:val="restart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Tese mestrado (10%) (f)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>
              <w:rPr>
                <w:color w:val="auto"/>
                <w:sz w:val="20"/>
                <w:szCs w:val="20"/>
                <w:lang w:val="pt-PT"/>
              </w:rPr>
              <w:t xml:space="preserve">Edição livro </w:t>
            </w:r>
            <w:proofErr w:type="gramStart"/>
            <w:r>
              <w:rPr>
                <w:color w:val="auto"/>
                <w:sz w:val="20"/>
                <w:szCs w:val="20"/>
                <w:lang w:val="pt-PT"/>
              </w:rPr>
              <w:t>internacional</w:t>
            </w:r>
            <w:r w:rsidRPr="00697B58">
              <w:rPr>
                <w:color w:val="auto"/>
                <w:sz w:val="20"/>
                <w:szCs w:val="20"/>
                <w:lang w:val="pt-PT"/>
              </w:rPr>
              <w:t>(10%</w:t>
            </w:r>
            <w:proofErr w:type="gramEnd"/>
            <w:r w:rsidRPr="00697B58">
              <w:rPr>
                <w:color w:val="auto"/>
                <w:sz w:val="20"/>
                <w:szCs w:val="20"/>
                <w:lang w:val="pt-PT"/>
              </w:rPr>
              <w:t>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Edição livro nacional (5%)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4642EC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Cap. livro internacional (15%)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Cap. livro nacional (5%)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Artigo internacional (15%) (g)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Artigo nacional (5%) (g)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30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Outras publicações (2%) (h)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198"/>
        </w:trPr>
        <w:tc>
          <w:tcPr>
            <w:tcW w:w="3793" w:type="dxa"/>
            <w:gridSpan w:val="2"/>
            <w:vMerge w:val="restart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Comunicações</w:t>
            </w:r>
            <w:r w:rsidRPr="00697B58">
              <w:rPr>
                <w:color w:val="auto"/>
                <w:sz w:val="20"/>
                <w:szCs w:val="20"/>
                <w:lang w:val="pt-PT"/>
              </w:rPr>
              <w:t xml:space="preserve"> (i)</w:t>
            </w: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Convite internacional (20%)</w:t>
            </w:r>
          </w:p>
        </w:tc>
        <w:tc>
          <w:tcPr>
            <w:tcW w:w="855" w:type="dxa"/>
            <w:vMerge w:val="restart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 xml:space="preserve">0-1.5 </w:t>
            </w: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valores</w:t>
            </w:r>
            <w:proofErr w:type="gramEnd"/>
          </w:p>
        </w:tc>
        <w:tc>
          <w:tcPr>
            <w:tcW w:w="1241" w:type="dxa"/>
            <w:vMerge w:val="restart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202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Convite nacional (10%)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192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Oral curta internacional (10%)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182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Oral curta nacional (7.5%)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232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Poster</w:t>
            </w:r>
            <w:proofErr w:type="gramEnd"/>
            <w:r w:rsidRPr="00697B58">
              <w:rPr>
                <w:color w:val="auto"/>
                <w:sz w:val="20"/>
                <w:szCs w:val="20"/>
                <w:lang w:val="pt-PT"/>
              </w:rPr>
              <w:t xml:space="preserve"> internacional (7.5%)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237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Poster</w:t>
            </w:r>
            <w:proofErr w:type="gramEnd"/>
            <w:r w:rsidRPr="00697B58">
              <w:rPr>
                <w:color w:val="auto"/>
                <w:sz w:val="20"/>
                <w:szCs w:val="20"/>
                <w:lang w:val="pt-PT"/>
              </w:rPr>
              <w:t xml:space="preserve"> nacional (5%)</w:t>
            </w:r>
          </w:p>
        </w:tc>
        <w:tc>
          <w:tcPr>
            <w:tcW w:w="855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263"/>
        </w:trPr>
        <w:tc>
          <w:tcPr>
            <w:tcW w:w="3793" w:type="dxa"/>
            <w:gridSpan w:val="2"/>
            <w:vMerge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Outras (2%) (j)</w:t>
            </w: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rPr>
          <w:trHeight w:val="185"/>
        </w:trPr>
        <w:tc>
          <w:tcPr>
            <w:tcW w:w="3793" w:type="dxa"/>
            <w:gridSpan w:val="2"/>
          </w:tcPr>
          <w:p w:rsidR="00697B58" w:rsidRPr="00697B58" w:rsidRDefault="00697B58" w:rsidP="00697B58">
            <w:pPr>
              <w:tabs>
                <w:tab w:val="left" w:pos="1120"/>
              </w:tabs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 xml:space="preserve">Prémios e outros reconhecimentos </w:t>
            </w:r>
            <w:r w:rsidRPr="00697B58">
              <w:rPr>
                <w:color w:val="auto"/>
                <w:sz w:val="20"/>
                <w:szCs w:val="20"/>
                <w:lang w:val="pt-PT"/>
              </w:rPr>
              <w:t>(l)</w:t>
            </w:r>
          </w:p>
        </w:tc>
        <w:tc>
          <w:tcPr>
            <w:tcW w:w="3691" w:type="dxa"/>
            <w:gridSpan w:val="2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 xml:space="preserve">0-0.5 </w:t>
            </w:r>
            <w:proofErr w:type="gramStart"/>
            <w:r w:rsidRPr="00697B58">
              <w:rPr>
                <w:color w:val="auto"/>
                <w:sz w:val="20"/>
                <w:szCs w:val="20"/>
                <w:lang w:val="pt-PT"/>
              </w:rPr>
              <w:t>valores</w:t>
            </w:r>
            <w:proofErr w:type="gramEnd"/>
          </w:p>
        </w:tc>
        <w:tc>
          <w:tcPr>
            <w:tcW w:w="1241" w:type="dxa"/>
            <w:vAlign w:val="center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</w:tr>
    </w:tbl>
    <w:p w:rsidR="00697B58" w:rsidRPr="00697B58" w:rsidRDefault="00697B58" w:rsidP="00697B58">
      <w:pPr>
        <w:spacing w:line="360" w:lineRule="auto"/>
        <w:rPr>
          <w:b/>
          <w:color w:val="auto"/>
        </w:rPr>
      </w:pPr>
    </w:p>
    <w:p w:rsidR="00697B58" w:rsidRPr="00697B58" w:rsidRDefault="00697B58" w:rsidP="00697B58">
      <w:pPr>
        <w:spacing w:line="360" w:lineRule="auto"/>
        <w:rPr>
          <w:color w:val="auto"/>
        </w:rPr>
      </w:pPr>
      <w:r w:rsidRPr="00697B58">
        <w:rPr>
          <w:b/>
          <w:color w:val="auto"/>
        </w:rPr>
        <w:t>Total</w:t>
      </w:r>
      <w:r w:rsidRPr="00697B58">
        <w:rPr>
          <w:color w:val="auto"/>
        </w:rPr>
        <w:t xml:space="preserve"> (0-20 valores):</w:t>
      </w:r>
    </w:p>
    <w:p w:rsidR="00697B58" w:rsidRPr="00697B58" w:rsidRDefault="00697B58" w:rsidP="00697B58">
      <w:pPr>
        <w:spacing w:line="360" w:lineRule="auto"/>
        <w:rPr>
          <w:b/>
          <w:color w:val="auto"/>
        </w:rPr>
      </w:pPr>
    </w:p>
    <w:tbl>
      <w:tblPr>
        <w:tblStyle w:val="Tabelacomgrelha"/>
        <w:tblW w:w="8755" w:type="dxa"/>
        <w:tblLook w:val="04A0"/>
      </w:tblPr>
      <w:tblGrid>
        <w:gridCol w:w="2203"/>
        <w:gridCol w:w="2184"/>
        <w:gridCol w:w="2184"/>
        <w:gridCol w:w="2184"/>
      </w:tblGrid>
      <w:tr w:rsidR="00697B58" w:rsidRPr="00697B58" w:rsidTr="00697B58">
        <w:tc>
          <w:tcPr>
            <w:tcW w:w="0" w:type="auto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Prova Curricular</w:t>
            </w: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Prova Prática</w:t>
            </w: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Prova Teórica</w:t>
            </w:r>
          </w:p>
        </w:tc>
      </w:tr>
      <w:tr w:rsidR="00697B58" w:rsidRPr="00697B58" w:rsidTr="00697B58">
        <w:tc>
          <w:tcPr>
            <w:tcW w:w="0" w:type="auto"/>
          </w:tcPr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Avaliação qualitativa</w:t>
            </w:r>
          </w:p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  <w:p w:rsidR="00697B58" w:rsidRPr="00697B58" w:rsidRDefault="00697B58" w:rsidP="00697B58">
            <w:pPr>
              <w:spacing w:line="360" w:lineRule="auto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</w:tr>
      <w:tr w:rsidR="00697B58" w:rsidRPr="00697B58" w:rsidTr="00697B58">
        <w:tc>
          <w:tcPr>
            <w:tcW w:w="0" w:type="auto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b/>
                <w:color w:val="auto"/>
                <w:sz w:val="20"/>
                <w:szCs w:val="20"/>
                <w:lang w:val="pt-PT"/>
              </w:rPr>
            </w:pPr>
            <w:r w:rsidRPr="00697B58">
              <w:rPr>
                <w:b/>
                <w:color w:val="auto"/>
                <w:sz w:val="20"/>
                <w:szCs w:val="20"/>
                <w:lang w:val="pt-PT"/>
              </w:rPr>
              <w:t>Avaliação quantitativa</w:t>
            </w:r>
          </w:p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  <w:r w:rsidRPr="00697B58">
              <w:rPr>
                <w:color w:val="auto"/>
                <w:sz w:val="20"/>
                <w:szCs w:val="20"/>
                <w:lang w:val="pt-PT"/>
              </w:rPr>
              <w:t>(0-20 valores)</w:t>
            </w: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2184" w:type="dxa"/>
            <w:vAlign w:val="center"/>
          </w:tcPr>
          <w:p w:rsidR="00697B58" w:rsidRPr="00697B58" w:rsidRDefault="00697B58" w:rsidP="00697B58">
            <w:pPr>
              <w:spacing w:line="360" w:lineRule="auto"/>
              <w:jc w:val="center"/>
              <w:rPr>
                <w:color w:val="auto"/>
                <w:sz w:val="20"/>
                <w:szCs w:val="20"/>
                <w:lang w:val="pt-PT"/>
              </w:rPr>
            </w:pPr>
          </w:p>
        </w:tc>
      </w:tr>
    </w:tbl>
    <w:p w:rsidR="00697B58" w:rsidRPr="00697B58" w:rsidRDefault="00697B58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697B58" w:rsidRDefault="00697B58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  <w:r w:rsidRPr="00697B58">
        <w:rPr>
          <w:color w:val="auto"/>
          <w:sz w:val="20"/>
          <w:szCs w:val="20"/>
        </w:rPr>
        <w:t>Data:</w:t>
      </w:r>
    </w:p>
    <w:p w:rsidR="004642EC" w:rsidRPr="00697B58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697B58" w:rsidRPr="00697B58" w:rsidRDefault="00697B58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  <w:r w:rsidRPr="00697B58">
        <w:rPr>
          <w:color w:val="auto"/>
          <w:sz w:val="20"/>
          <w:szCs w:val="20"/>
        </w:rPr>
        <w:t>O Júri,</w:t>
      </w:r>
    </w:p>
    <w:p w:rsidR="00697B58" w:rsidRDefault="00697B58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4642EC" w:rsidRDefault="004642EC" w:rsidP="00697B58">
      <w:pPr>
        <w:tabs>
          <w:tab w:val="left" w:pos="1600"/>
        </w:tabs>
        <w:spacing w:line="360" w:lineRule="auto"/>
        <w:rPr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>Notas explicativas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>Introdução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color w:val="auto"/>
          <w:sz w:val="20"/>
          <w:szCs w:val="20"/>
        </w:rPr>
        <w:t>A presente grelha pretende que uma formação sólida em Neurorradiologia conduza a uma aprovação honrosa no internato, mas que, só por si, não permita atingir classificações demasiado elevadas. Para a obtenção destas, será necessário um esforço suplementar, que inclua iniciativas de formação e produção científica de elevada qualidade ou, se apenas com qualidade suficiente, pelo menos em quantidade relevante.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color w:val="auto"/>
          <w:sz w:val="20"/>
          <w:szCs w:val="20"/>
        </w:rPr>
        <w:t xml:space="preserve">Contrariamente a modelos de grelhas anteriores (ou à sua aplicação prática), o candidato com mais publicações e comunicações em cada época deixará de ser a </w:t>
      </w:r>
      <w:r w:rsidRPr="00697B58">
        <w:rPr>
          <w:rFonts w:ascii="Verdana" w:hAnsi="Verdana"/>
          <w:color w:val="auto"/>
          <w:sz w:val="20"/>
          <w:szCs w:val="20"/>
        </w:rPr>
        <w:lastRenderedPageBreak/>
        <w:t>referência para a valorização destes itens. Por outro lado, haverá um limite para esta valorização, considerando-se que uma produção científica excecionalmente rica não substitui uma boa formação básica. Este mesmo princípio deve ser aplicado à valorização da frequência de estágios e cursos, a qual, por ser muito variável, não está estritamente quantificada nas presentes instruções, antes ficando ao critério sensato de cada júri.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a) </w:t>
      </w:r>
      <w:r w:rsidRPr="00697B58">
        <w:rPr>
          <w:rFonts w:ascii="Verdana" w:hAnsi="Verdana"/>
          <w:color w:val="auto"/>
          <w:sz w:val="20"/>
          <w:szCs w:val="20"/>
        </w:rPr>
        <w:t xml:space="preserve">A prova de discussão curricular destina-se a avaliar o percurso profissional do candidato ao longo do processo formativo, consistindo na apreciação e discussão do </w:t>
      </w:r>
      <w:r w:rsidRPr="00697B58">
        <w:rPr>
          <w:rFonts w:ascii="Verdana" w:hAnsi="Verdana"/>
          <w:i/>
          <w:color w:val="auto"/>
          <w:sz w:val="20"/>
          <w:szCs w:val="20"/>
        </w:rPr>
        <w:t xml:space="preserve">curriculum </w:t>
      </w:r>
      <w:proofErr w:type="gramStart"/>
      <w:r w:rsidRPr="00697B58">
        <w:rPr>
          <w:rFonts w:ascii="Verdana" w:hAnsi="Verdana"/>
          <w:i/>
          <w:color w:val="auto"/>
          <w:sz w:val="20"/>
          <w:szCs w:val="20"/>
        </w:rPr>
        <w:t>vitae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 xml:space="preserve"> apresentado. A classificação da avaliação final resulta da média aritmética das classificações obtidas na prova curricular, prática e teórica.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b) </w:t>
      </w:r>
      <w:r w:rsidRPr="00697B58">
        <w:rPr>
          <w:rFonts w:ascii="Verdana" w:hAnsi="Verdana"/>
          <w:color w:val="auto"/>
          <w:sz w:val="20"/>
          <w:szCs w:val="20"/>
        </w:rPr>
        <w:t xml:space="preserve">Nº4 do artigo 72º - Todos os resultados da avaliação contínua são registados no processo individual do médico interno da instituição de saúde de colocação ou formação. Na classificação da prova curricular é tida em conta a média ponderada (pelo tempo de duração) da classificação obtida durante os estágios que integram o programa da formação específica na especialidade, classificação que, em caso de aproveitamento do candidato nessa prova, tem um peso mínimo de 40% na classificação final da prova de discussão curricular (nº2 do artigo 85º). Oito valores têm que corresponder obrigatoriamente à média ponderada das classificações obtidas durante os estágios; a título de exemplo, um candidato com 20 valores de média ponderada obteria 8 valores, e um candidato com 18 valores de média obteria 7,2 valores. Sobram quatro valores neste item para se avaliar a discussão propriamente dita do </w:t>
      </w:r>
      <w:r w:rsidRPr="00697B58">
        <w:rPr>
          <w:rFonts w:ascii="Verdana" w:hAnsi="Verdana"/>
          <w:i/>
          <w:color w:val="auto"/>
          <w:sz w:val="20"/>
          <w:szCs w:val="20"/>
        </w:rPr>
        <w:t>curriculum</w:t>
      </w:r>
      <w:r w:rsidRPr="00697B58">
        <w:rPr>
          <w:rFonts w:ascii="Verdana" w:hAnsi="Verdana"/>
          <w:color w:val="auto"/>
          <w:sz w:val="20"/>
          <w:szCs w:val="20"/>
        </w:rPr>
        <w:t>, incluindo a capacidade de o candidato discutir o seu percurso, o contributo do seu trabalho para o serviço, trabalhos efetuados, colaboração na organização de eventos científicos, e participação dentro da especialidade na formação de outros profissionais.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642EC" w:rsidRDefault="004642EC" w:rsidP="00697B58">
      <w:pPr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c) </w:t>
      </w:r>
      <w:r w:rsidRPr="00697B58">
        <w:rPr>
          <w:rFonts w:ascii="Verdana" w:hAnsi="Verdana"/>
          <w:color w:val="auto"/>
          <w:sz w:val="20"/>
          <w:szCs w:val="20"/>
        </w:rPr>
        <w:t>Deve ser valorizada a realização de estágios opcionais no âmbito da especialidade, tanto nacionais como no estrangeiro, a tempo parcial ou completo.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d) </w:t>
      </w:r>
      <w:r w:rsidRPr="00697B58">
        <w:rPr>
          <w:rFonts w:ascii="Verdana" w:hAnsi="Verdana"/>
          <w:color w:val="auto"/>
          <w:sz w:val="20"/>
          <w:szCs w:val="20"/>
        </w:rPr>
        <w:t>Cursos de reconhecida qualidade,</w:t>
      </w:r>
      <w:r w:rsidRPr="00697B58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697B58">
        <w:rPr>
          <w:rFonts w:ascii="Verdana" w:hAnsi="Verdana"/>
          <w:color w:val="auto"/>
          <w:sz w:val="20"/>
          <w:szCs w:val="20"/>
        </w:rPr>
        <w:t xml:space="preserve">por exemplo </w:t>
      </w:r>
      <w:proofErr w:type="gramStart"/>
      <w:r w:rsidRPr="00697B58">
        <w:rPr>
          <w:rFonts w:ascii="Verdana" w:hAnsi="Verdana"/>
          <w:color w:val="auto"/>
          <w:sz w:val="20"/>
          <w:szCs w:val="20"/>
        </w:rPr>
        <w:t>organizados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 xml:space="preserve"> pela SPNR, ECNR, cursos avançados da ESNR, </w:t>
      </w:r>
      <w:proofErr w:type="gramStart"/>
      <w:r w:rsidRPr="00697B58">
        <w:rPr>
          <w:rFonts w:ascii="Verdana" w:hAnsi="Verdana"/>
          <w:color w:val="auto"/>
          <w:sz w:val="20"/>
          <w:szCs w:val="20"/>
        </w:rPr>
        <w:t>Erasmus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>, ISMRM, ESMINT, AFIP, ESMRN.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>e)</w:t>
      </w:r>
      <w:r w:rsidRPr="00697B58">
        <w:rPr>
          <w:rFonts w:ascii="Verdana" w:hAnsi="Verdana"/>
          <w:color w:val="auto"/>
          <w:sz w:val="20"/>
          <w:szCs w:val="20"/>
        </w:rPr>
        <w:t xml:space="preserve"> Só serão consideradas publicações no âmbito da especialidade ou de outras neurociências e produzidas no decurso do internato. Às publicações como primeiro ou último autor é atribuída 100% da cotação, como segundo autor 50% da cotação e como terceiro autor 25% da cotação. Não serão aceites para avaliação artigos </w:t>
      </w:r>
      <w:r w:rsidRPr="00697B58">
        <w:rPr>
          <w:rFonts w:ascii="Verdana" w:hAnsi="Verdana"/>
          <w:color w:val="auto"/>
          <w:sz w:val="20"/>
          <w:szCs w:val="20"/>
        </w:rPr>
        <w:lastRenderedPageBreak/>
        <w:t xml:space="preserve">submetidos para publicação; apenas artigos publicados ou no prelo. Devem ser considerados também o número de publicações e a qualidade do trabalho que representam. As percentagens apresentadas referem-se a cada um dos vários trabalhos. Por exemplo, um artigo internacional vale 15% de 2 valores = 0.3 valores, aplicando-se depois os coeficientes de autoria e de fator de impacto (ver explicação g); o processo repete-se para cada um dos trabalhos que o candidato apresente, adicionando-se os valores assim obtidos, até ao máximo de 100%. A percentagem obtida </w:t>
      </w:r>
      <w:proofErr w:type="gramStart"/>
      <w:r w:rsidRPr="00697B58">
        <w:rPr>
          <w:rFonts w:ascii="Verdana" w:hAnsi="Verdana"/>
          <w:color w:val="auto"/>
          <w:sz w:val="20"/>
          <w:szCs w:val="20"/>
        </w:rPr>
        <w:t>(&lt;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 xml:space="preserve"> ou = 100%) será aplicada ao valor total do item (2 valores).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f) </w:t>
      </w:r>
      <w:r w:rsidRPr="00697B58">
        <w:rPr>
          <w:rFonts w:ascii="Verdana" w:hAnsi="Verdana"/>
          <w:color w:val="auto"/>
          <w:sz w:val="20"/>
          <w:szCs w:val="20"/>
        </w:rPr>
        <w:t>Exclui o mestrado integrado em Medicina.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g) </w:t>
      </w:r>
      <w:r w:rsidRPr="00697B58">
        <w:rPr>
          <w:rFonts w:ascii="Verdana" w:hAnsi="Verdana"/>
          <w:color w:val="auto"/>
          <w:sz w:val="20"/>
          <w:szCs w:val="20"/>
        </w:rPr>
        <w:t xml:space="preserve">Artigos com revisão por pares, incluindo artigos </w:t>
      </w:r>
      <w:proofErr w:type="gramStart"/>
      <w:r w:rsidRPr="00697B58">
        <w:rPr>
          <w:rFonts w:ascii="Verdana" w:hAnsi="Verdana"/>
          <w:color w:val="auto"/>
          <w:sz w:val="20"/>
          <w:szCs w:val="20"/>
        </w:rPr>
        <w:t>online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>. O fator de impacto do artigo é multiplicado pela cotação obtida; quando o fator de impacto é inferior a 1, a cotação é multiplicada por 1.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h) </w:t>
      </w:r>
      <w:r w:rsidRPr="00697B58">
        <w:rPr>
          <w:rFonts w:ascii="Verdana" w:hAnsi="Verdana"/>
          <w:color w:val="auto"/>
          <w:sz w:val="20"/>
          <w:szCs w:val="20"/>
        </w:rPr>
        <w:t xml:space="preserve">Outras publicações, sem revisão por pares, designadamente, </w:t>
      </w:r>
      <w:proofErr w:type="gramStart"/>
      <w:r w:rsidRPr="00697B58">
        <w:rPr>
          <w:rFonts w:ascii="Verdana" w:hAnsi="Verdana"/>
          <w:color w:val="auto"/>
          <w:sz w:val="20"/>
          <w:szCs w:val="20"/>
        </w:rPr>
        <w:t>atas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 xml:space="preserve"> de conferências, artigos de opinião, publicações online.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>i)</w:t>
      </w:r>
      <w:r w:rsidRPr="00697B58">
        <w:rPr>
          <w:rFonts w:ascii="Verdana" w:hAnsi="Verdana"/>
          <w:color w:val="auto"/>
          <w:sz w:val="20"/>
          <w:szCs w:val="20"/>
        </w:rPr>
        <w:t xml:space="preserve"> Só serão consideradas comunicações no âmbito da especialidade ou de outras neurociências e produzidas no decurso do </w:t>
      </w:r>
      <w:proofErr w:type="gramStart"/>
      <w:r w:rsidRPr="00697B58">
        <w:rPr>
          <w:rFonts w:ascii="Verdana" w:hAnsi="Verdana"/>
          <w:color w:val="auto"/>
          <w:sz w:val="20"/>
          <w:szCs w:val="20"/>
        </w:rPr>
        <w:t xml:space="preserve">internato.  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 xml:space="preserve">As comunicações por convite são de autor único. Às comunicações orais curtas, </w:t>
      </w:r>
      <w:proofErr w:type="gramStart"/>
      <w:r w:rsidRPr="00697B58">
        <w:rPr>
          <w:rFonts w:ascii="Verdana" w:hAnsi="Verdana"/>
          <w:color w:val="auto"/>
          <w:sz w:val="20"/>
          <w:szCs w:val="20"/>
        </w:rPr>
        <w:t>posters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 xml:space="preserve"> e outras como primeiro ou último autor é atribuída 100% da cotação, como segundo autor 50% da cotação e como terceiro autor 25% da cotação. Tal como em e), o candidato pode acumular pontos com diferentes comunicações até atingir os 1.5 valores de cotação máxima.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642EC" w:rsidRDefault="004642EC" w:rsidP="00697B58">
      <w:pPr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4642EC" w:rsidRDefault="004642EC" w:rsidP="00697B58">
      <w:pPr>
        <w:spacing w:line="360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j) </w:t>
      </w:r>
      <w:r w:rsidRPr="00697B58">
        <w:rPr>
          <w:rFonts w:ascii="Verdana" w:hAnsi="Verdana"/>
          <w:color w:val="auto"/>
          <w:sz w:val="20"/>
          <w:szCs w:val="20"/>
        </w:rPr>
        <w:t>Nomeadamente de divulgação ao público, nas instituições de colocação ou de formação.</w:t>
      </w: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4642EC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b/>
          <w:color w:val="auto"/>
          <w:sz w:val="20"/>
          <w:szCs w:val="20"/>
        </w:rPr>
        <w:t xml:space="preserve">l) </w:t>
      </w:r>
      <w:proofErr w:type="gramStart"/>
      <w:r w:rsidRPr="00697B58">
        <w:rPr>
          <w:rFonts w:ascii="Verdana" w:hAnsi="Verdana"/>
          <w:color w:val="auto"/>
          <w:sz w:val="20"/>
          <w:szCs w:val="20"/>
        </w:rPr>
        <w:t>Prémios referentes a projetos, publicações ou comunicações, entre outros, bem como outros reconhecimentos idóneos e relevantes do mérito tais como bolsas atribuídas para</w:t>
      </w:r>
      <w:proofErr w:type="gramEnd"/>
      <w:r w:rsidRPr="00697B58">
        <w:rPr>
          <w:rFonts w:ascii="Verdana" w:hAnsi="Verdana"/>
          <w:color w:val="auto"/>
          <w:sz w:val="20"/>
          <w:szCs w:val="20"/>
        </w:rPr>
        <w:t xml:space="preserve"> investigação ou formação, sempre no âmbito da especialidade ou das neurociências.</w:t>
      </w:r>
    </w:p>
    <w:p w:rsidR="004642EC" w:rsidRDefault="004642EC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697B58" w:rsidRPr="00697B58" w:rsidRDefault="00697B58" w:rsidP="00697B58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697B58">
        <w:rPr>
          <w:rFonts w:ascii="Verdana" w:hAnsi="Verdana"/>
          <w:color w:val="auto"/>
          <w:sz w:val="20"/>
          <w:szCs w:val="20"/>
        </w:rPr>
        <w:t>Revisto em reunião da direção do Colégio de Neurorradiologia, em 3 de junho de 2014</w:t>
      </w:r>
    </w:p>
    <w:p w:rsidR="00697B58" w:rsidRPr="00697B58" w:rsidRDefault="00697B58" w:rsidP="00610445">
      <w:pPr>
        <w:spacing w:line="360" w:lineRule="auto"/>
        <w:jc w:val="both"/>
        <w:rPr>
          <w:rFonts w:ascii="Verdana" w:hAnsi="Verdana" w:cs="Arial"/>
          <w:color w:val="auto"/>
          <w:sz w:val="20"/>
          <w:szCs w:val="20"/>
        </w:rPr>
      </w:pPr>
    </w:p>
    <w:p w:rsidR="00F457DE" w:rsidRPr="003B55B1" w:rsidRDefault="00F457DE" w:rsidP="003B55B1">
      <w:pPr>
        <w:spacing w:after="240" w:line="360" w:lineRule="auto"/>
        <w:jc w:val="right"/>
        <w:rPr>
          <w:rFonts w:ascii="Verdana" w:eastAsia="Arial" w:hAnsi="Verdana" w:cs="Arial"/>
          <w:color w:val="auto"/>
          <w:sz w:val="20"/>
          <w:szCs w:val="20"/>
        </w:rPr>
      </w:pPr>
    </w:p>
    <w:sectPr w:rsidR="00F457DE" w:rsidRPr="003B55B1" w:rsidSect="00DA6E23">
      <w:headerReference w:type="default" r:id="rId8"/>
      <w:headerReference w:type="first" r:id="rId9"/>
      <w:pgSz w:w="11906" w:h="16838" w:code="9"/>
      <w:pgMar w:top="1418" w:right="1701" w:bottom="567" w:left="1701" w:header="0" w:footer="5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B58" w:rsidRDefault="00697B58" w:rsidP="0002119F">
      <w:r>
        <w:separator/>
      </w:r>
    </w:p>
  </w:endnote>
  <w:endnote w:type="continuationSeparator" w:id="0">
    <w:p w:rsidR="00697B58" w:rsidRDefault="00697B58" w:rsidP="0002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B58" w:rsidRDefault="00697B58" w:rsidP="0002119F">
      <w:r>
        <w:separator/>
      </w:r>
    </w:p>
  </w:footnote>
  <w:footnote w:type="continuationSeparator" w:id="0">
    <w:p w:rsidR="00697B58" w:rsidRDefault="00697B58" w:rsidP="0002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58" w:rsidRDefault="00697B58" w:rsidP="0002119F">
    <w:pPr>
      <w:pStyle w:val="Cabealho"/>
      <w:ind w:left="-1701"/>
    </w:pPr>
    <w:r>
      <w:rPr>
        <w:noProof/>
      </w:rPr>
      <w:drawing>
        <wp:inline distT="0" distB="0" distL="0" distR="0">
          <wp:extent cx="7534275" cy="1381125"/>
          <wp:effectExtent l="19050" t="0" r="9525" b="0"/>
          <wp:docPr id="23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58" w:rsidRDefault="00697B58" w:rsidP="00DA6E23">
    <w:pPr>
      <w:pStyle w:val="Cabealho"/>
      <w:ind w:left="-1701"/>
    </w:pPr>
    <w:r>
      <w:rPr>
        <w:noProof/>
      </w:rPr>
      <w:drawing>
        <wp:inline distT="0" distB="0" distL="0" distR="0">
          <wp:extent cx="7534275" cy="1381125"/>
          <wp:effectExtent l="19050" t="0" r="9525" b="0"/>
          <wp:docPr id="24" name="Imagem 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55D"/>
    <w:multiLevelType w:val="hybridMultilevel"/>
    <w:tmpl w:val="ACAE2C74"/>
    <w:lvl w:ilvl="0" w:tplc="1EE23BEE">
      <w:start w:val="1"/>
      <w:numFmt w:val="decimal"/>
      <w:lvlText w:val="%1)"/>
      <w:lvlJc w:val="left"/>
      <w:pPr>
        <w:ind w:left="685" w:hanging="360"/>
      </w:pPr>
      <w:rPr>
        <w:rFonts w:hint="default"/>
        <w:w w:val="182"/>
      </w:rPr>
    </w:lvl>
    <w:lvl w:ilvl="1" w:tplc="08160019" w:tentative="1">
      <w:start w:val="1"/>
      <w:numFmt w:val="lowerLetter"/>
      <w:lvlText w:val="%2."/>
      <w:lvlJc w:val="left"/>
      <w:pPr>
        <w:ind w:left="1405" w:hanging="360"/>
      </w:pPr>
    </w:lvl>
    <w:lvl w:ilvl="2" w:tplc="0816001B" w:tentative="1">
      <w:start w:val="1"/>
      <w:numFmt w:val="lowerRoman"/>
      <w:lvlText w:val="%3."/>
      <w:lvlJc w:val="right"/>
      <w:pPr>
        <w:ind w:left="2125" w:hanging="180"/>
      </w:pPr>
    </w:lvl>
    <w:lvl w:ilvl="3" w:tplc="0816000F" w:tentative="1">
      <w:start w:val="1"/>
      <w:numFmt w:val="decimal"/>
      <w:lvlText w:val="%4."/>
      <w:lvlJc w:val="left"/>
      <w:pPr>
        <w:ind w:left="2845" w:hanging="360"/>
      </w:pPr>
    </w:lvl>
    <w:lvl w:ilvl="4" w:tplc="08160019" w:tentative="1">
      <w:start w:val="1"/>
      <w:numFmt w:val="lowerLetter"/>
      <w:lvlText w:val="%5."/>
      <w:lvlJc w:val="left"/>
      <w:pPr>
        <w:ind w:left="3565" w:hanging="360"/>
      </w:pPr>
    </w:lvl>
    <w:lvl w:ilvl="5" w:tplc="0816001B" w:tentative="1">
      <w:start w:val="1"/>
      <w:numFmt w:val="lowerRoman"/>
      <w:lvlText w:val="%6."/>
      <w:lvlJc w:val="right"/>
      <w:pPr>
        <w:ind w:left="4285" w:hanging="180"/>
      </w:pPr>
    </w:lvl>
    <w:lvl w:ilvl="6" w:tplc="0816000F" w:tentative="1">
      <w:start w:val="1"/>
      <w:numFmt w:val="decimal"/>
      <w:lvlText w:val="%7."/>
      <w:lvlJc w:val="left"/>
      <w:pPr>
        <w:ind w:left="5005" w:hanging="360"/>
      </w:pPr>
    </w:lvl>
    <w:lvl w:ilvl="7" w:tplc="08160019" w:tentative="1">
      <w:start w:val="1"/>
      <w:numFmt w:val="lowerLetter"/>
      <w:lvlText w:val="%8."/>
      <w:lvlJc w:val="left"/>
      <w:pPr>
        <w:ind w:left="5725" w:hanging="360"/>
      </w:pPr>
    </w:lvl>
    <w:lvl w:ilvl="8" w:tplc="0816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">
    <w:nsid w:val="0965251C"/>
    <w:multiLevelType w:val="hybridMultilevel"/>
    <w:tmpl w:val="BB0C7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6C26"/>
    <w:multiLevelType w:val="hybridMultilevel"/>
    <w:tmpl w:val="D45A0066"/>
    <w:lvl w:ilvl="0" w:tplc="A1BA09A8">
      <w:start w:val="10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94" w:hanging="360"/>
      </w:pPr>
    </w:lvl>
    <w:lvl w:ilvl="2" w:tplc="0816001B" w:tentative="1">
      <w:start w:val="1"/>
      <w:numFmt w:val="lowerRoman"/>
      <w:lvlText w:val="%3."/>
      <w:lvlJc w:val="right"/>
      <w:pPr>
        <w:ind w:left="2614" w:hanging="180"/>
      </w:pPr>
    </w:lvl>
    <w:lvl w:ilvl="3" w:tplc="0816000F" w:tentative="1">
      <w:start w:val="1"/>
      <w:numFmt w:val="decimal"/>
      <w:lvlText w:val="%4."/>
      <w:lvlJc w:val="left"/>
      <w:pPr>
        <w:ind w:left="3334" w:hanging="360"/>
      </w:pPr>
    </w:lvl>
    <w:lvl w:ilvl="4" w:tplc="08160019" w:tentative="1">
      <w:start w:val="1"/>
      <w:numFmt w:val="lowerLetter"/>
      <w:lvlText w:val="%5."/>
      <w:lvlJc w:val="left"/>
      <w:pPr>
        <w:ind w:left="4054" w:hanging="360"/>
      </w:pPr>
    </w:lvl>
    <w:lvl w:ilvl="5" w:tplc="0816001B" w:tentative="1">
      <w:start w:val="1"/>
      <w:numFmt w:val="lowerRoman"/>
      <w:lvlText w:val="%6."/>
      <w:lvlJc w:val="right"/>
      <w:pPr>
        <w:ind w:left="4774" w:hanging="180"/>
      </w:pPr>
    </w:lvl>
    <w:lvl w:ilvl="6" w:tplc="0816000F" w:tentative="1">
      <w:start w:val="1"/>
      <w:numFmt w:val="decimal"/>
      <w:lvlText w:val="%7."/>
      <w:lvlJc w:val="left"/>
      <w:pPr>
        <w:ind w:left="5494" w:hanging="360"/>
      </w:pPr>
    </w:lvl>
    <w:lvl w:ilvl="7" w:tplc="08160019" w:tentative="1">
      <w:start w:val="1"/>
      <w:numFmt w:val="lowerLetter"/>
      <w:lvlText w:val="%8."/>
      <w:lvlJc w:val="left"/>
      <w:pPr>
        <w:ind w:left="6214" w:hanging="360"/>
      </w:pPr>
    </w:lvl>
    <w:lvl w:ilvl="8" w:tplc="0816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244D6903"/>
    <w:multiLevelType w:val="hybridMultilevel"/>
    <w:tmpl w:val="69C4EC36"/>
    <w:lvl w:ilvl="0" w:tplc="73AE337C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7" w:hanging="360"/>
      </w:pPr>
    </w:lvl>
    <w:lvl w:ilvl="2" w:tplc="0816001B" w:tentative="1">
      <w:start w:val="1"/>
      <w:numFmt w:val="lowerRoman"/>
      <w:lvlText w:val="%3."/>
      <w:lvlJc w:val="right"/>
      <w:pPr>
        <w:ind w:left="1517" w:hanging="180"/>
      </w:pPr>
    </w:lvl>
    <w:lvl w:ilvl="3" w:tplc="0816000F" w:tentative="1">
      <w:start w:val="1"/>
      <w:numFmt w:val="decimal"/>
      <w:lvlText w:val="%4."/>
      <w:lvlJc w:val="left"/>
      <w:pPr>
        <w:ind w:left="2237" w:hanging="360"/>
      </w:pPr>
    </w:lvl>
    <w:lvl w:ilvl="4" w:tplc="08160019" w:tentative="1">
      <w:start w:val="1"/>
      <w:numFmt w:val="lowerLetter"/>
      <w:lvlText w:val="%5."/>
      <w:lvlJc w:val="left"/>
      <w:pPr>
        <w:ind w:left="2957" w:hanging="360"/>
      </w:pPr>
    </w:lvl>
    <w:lvl w:ilvl="5" w:tplc="0816001B" w:tentative="1">
      <w:start w:val="1"/>
      <w:numFmt w:val="lowerRoman"/>
      <w:lvlText w:val="%6."/>
      <w:lvlJc w:val="right"/>
      <w:pPr>
        <w:ind w:left="3677" w:hanging="180"/>
      </w:pPr>
    </w:lvl>
    <w:lvl w:ilvl="6" w:tplc="0816000F" w:tentative="1">
      <w:start w:val="1"/>
      <w:numFmt w:val="decimal"/>
      <w:lvlText w:val="%7."/>
      <w:lvlJc w:val="left"/>
      <w:pPr>
        <w:ind w:left="4397" w:hanging="360"/>
      </w:pPr>
    </w:lvl>
    <w:lvl w:ilvl="7" w:tplc="08160019" w:tentative="1">
      <w:start w:val="1"/>
      <w:numFmt w:val="lowerLetter"/>
      <w:lvlText w:val="%8."/>
      <w:lvlJc w:val="left"/>
      <w:pPr>
        <w:ind w:left="5117" w:hanging="360"/>
      </w:pPr>
    </w:lvl>
    <w:lvl w:ilvl="8" w:tplc="08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2FA62954"/>
    <w:multiLevelType w:val="hybridMultilevel"/>
    <w:tmpl w:val="4E8CD2CA"/>
    <w:lvl w:ilvl="0" w:tplc="F5B837EC">
      <w:start w:val="1"/>
      <w:numFmt w:val="bullet"/>
      <w:lvlText w:val=""/>
      <w:lvlJc w:val="left"/>
      <w:pPr>
        <w:tabs>
          <w:tab w:val="num" w:pos="474"/>
        </w:tabs>
        <w:ind w:left="228" w:hanging="11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>
    <w:nsid w:val="32342804"/>
    <w:multiLevelType w:val="hybridMultilevel"/>
    <w:tmpl w:val="97784F52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51D2B30"/>
    <w:multiLevelType w:val="hybridMultilevel"/>
    <w:tmpl w:val="DB84151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94D6E"/>
    <w:multiLevelType w:val="hybridMultilevel"/>
    <w:tmpl w:val="3A58B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61B66"/>
    <w:multiLevelType w:val="hybridMultilevel"/>
    <w:tmpl w:val="BD0CFFF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F0173"/>
    <w:multiLevelType w:val="hybridMultilevel"/>
    <w:tmpl w:val="ABB26CFE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5F455C"/>
    <w:multiLevelType w:val="hybridMultilevel"/>
    <w:tmpl w:val="361C1F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743EB"/>
    <w:multiLevelType w:val="hybridMultilevel"/>
    <w:tmpl w:val="45E0F29C"/>
    <w:lvl w:ilvl="0" w:tplc="8BB40410">
      <w:start w:val="1"/>
      <w:numFmt w:val="bullet"/>
      <w:lvlText w:val=""/>
      <w:lvlJc w:val="left"/>
      <w:pPr>
        <w:tabs>
          <w:tab w:val="num" w:pos="567"/>
        </w:tabs>
        <w:ind w:left="624" w:hanging="227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E11F4D"/>
    <w:multiLevelType w:val="hybridMultilevel"/>
    <w:tmpl w:val="2160DE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20E74"/>
    <w:multiLevelType w:val="hybridMultilevel"/>
    <w:tmpl w:val="8D2C76B8"/>
    <w:lvl w:ilvl="0" w:tplc="6D46925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661C13B8"/>
    <w:multiLevelType w:val="hybridMultilevel"/>
    <w:tmpl w:val="A97A19EC"/>
    <w:lvl w:ilvl="0" w:tplc="A7921F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6DFC2136"/>
    <w:multiLevelType w:val="hybridMultilevel"/>
    <w:tmpl w:val="823EE274"/>
    <w:lvl w:ilvl="0" w:tplc="BF14D37A">
      <w:start w:val="1"/>
      <w:numFmt w:val="decimal"/>
      <w:lvlText w:val="%1)"/>
      <w:lvlJc w:val="left"/>
      <w:pPr>
        <w:ind w:left="785" w:hanging="360"/>
      </w:pPr>
      <w:rPr>
        <w:rFonts w:hint="default"/>
        <w:w w:val="113"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6DC3A49"/>
    <w:multiLevelType w:val="hybridMultilevel"/>
    <w:tmpl w:val="2E921B0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266DF"/>
    <w:multiLevelType w:val="hybridMultilevel"/>
    <w:tmpl w:val="0EA41E42"/>
    <w:lvl w:ilvl="0" w:tplc="19006464">
      <w:start w:val="1"/>
      <w:numFmt w:val="upperLetter"/>
      <w:lvlText w:val="%1-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7D126D6D"/>
    <w:multiLevelType w:val="hybridMultilevel"/>
    <w:tmpl w:val="BA2000E4"/>
    <w:lvl w:ilvl="0" w:tplc="9FCC0730">
      <w:start w:val="3"/>
      <w:numFmt w:val="upperLetter"/>
      <w:lvlText w:val="%1-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7D515F8B"/>
    <w:multiLevelType w:val="hybridMultilevel"/>
    <w:tmpl w:val="B9B4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C1E93"/>
    <w:multiLevelType w:val="hybridMultilevel"/>
    <w:tmpl w:val="8A1CEA34"/>
    <w:lvl w:ilvl="0" w:tplc="E5C20762">
      <w:start w:val="1"/>
      <w:numFmt w:val="upperLetter"/>
      <w:lvlText w:val="%1)"/>
      <w:lvlJc w:val="left"/>
      <w:pPr>
        <w:ind w:left="475" w:hanging="360"/>
      </w:pPr>
      <w:rPr>
        <w:rFonts w:hint="default"/>
        <w:color w:val="2A2D2F"/>
      </w:rPr>
    </w:lvl>
    <w:lvl w:ilvl="1" w:tplc="08160019" w:tentative="1">
      <w:start w:val="1"/>
      <w:numFmt w:val="lowerLetter"/>
      <w:lvlText w:val="%2."/>
      <w:lvlJc w:val="left"/>
      <w:pPr>
        <w:ind w:left="1195" w:hanging="360"/>
      </w:pPr>
    </w:lvl>
    <w:lvl w:ilvl="2" w:tplc="0816001B" w:tentative="1">
      <w:start w:val="1"/>
      <w:numFmt w:val="lowerRoman"/>
      <w:lvlText w:val="%3."/>
      <w:lvlJc w:val="right"/>
      <w:pPr>
        <w:ind w:left="1915" w:hanging="180"/>
      </w:pPr>
    </w:lvl>
    <w:lvl w:ilvl="3" w:tplc="0816000F" w:tentative="1">
      <w:start w:val="1"/>
      <w:numFmt w:val="decimal"/>
      <w:lvlText w:val="%4."/>
      <w:lvlJc w:val="left"/>
      <w:pPr>
        <w:ind w:left="2635" w:hanging="360"/>
      </w:pPr>
    </w:lvl>
    <w:lvl w:ilvl="4" w:tplc="08160019" w:tentative="1">
      <w:start w:val="1"/>
      <w:numFmt w:val="lowerLetter"/>
      <w:lvlText w:val="%5."/>
      <w:lvlJc w:val="left"/>
      <w:pPr>
        <w:ind w:left="3355" w:hanging="360"/>
      </w:pPr>
    </w:lvl>
    <w:lvl w:ilvl="5" w:tplc="0816001B" w:tentative="1">
      <w:start w:val="1"/>
      <w:numFmt w:val="lowerRoman"/>
      <w:lvlText w:val="%6."/>
      <w:lvlJc w:val="right"/>
      <w:pPr>
        <w:ind w:left="4075" w:hanging="180"/>
      </w:pPr>
    </w:lvl>
    <w:lvl w:ilvl="6" w:tplc="0816000F" w:tentative="1">
      <w:start w:val="1"/>
      <w:numFmt w:val="decimal"/>
      <w:lvlText w:val="%7."/>
      <w:lvlJc w:val="left"/>
      <w:pPr>
        <w:ind w:left="4795" w:hanging="360"/>
      </w:pPr>
    </w:lvl>
    <w:lvl w:ilvl="7" w:tplc="08160019" w:tentative="1">
      <w:start w:val="1"/>
      <w:numFmt w:val="lowerLetter"/>
      <w:lvlText w:val="%8."/>
      <w:lvlJc w:val="left"/>
      <w:pPr>
        <w:ind w:left="5515" w:hanging="360"/>
      </w:pPr>
    </w:lvl>
    <w:lvl w:ilvl="8" w:tplc="0816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1"/>
  </w:num>
  <w:num w:numId="5">
    <w:abstractNumId w:val="14"/>
  </w:num>
  <w:num w:numId="6">
    <w:abstractNumId w:val="17"/>
  </w:num>
  <w:num w:numId="7">
    <w:abstractNumId w:val="3"/>
  </w:num>
  <w:num w:numId="8">
    <w:abstractNumId w:val="18"/>
  </w:num>
  <w:num w:numId="9">
    <w:abstractNumId w:val="5"/>
  </w:num>
  <w:num w:numId="10">
    <w:abstractNumId w:val="11"/>
  </w:num>
  <w:num w:numId="11">
    <w:abstractNumId w:val="8"/>
  </w:num>
  <w:num w:numId="12">
    <w:abstractNumId w:val="9"/>
  </w:num>
  <w:num w:numId="13">
    <w:abstractNumId w:val="4"/>
  </w:num>
  <w:num w:numId="14">
    <w:abstractNumId w:val="20"/>
  </w:num>
  <w:num w:numId="15">
    <w:abstractNumId w:val="13"/>
  </w:num>
  <w:num w:numId="16">
    <w:abstractNumId w:val="0"/>
  </w:num>
  <w:num w:numId="17">
    <w:abstractNumId w:val="2"/>
  </w:num>
  <w:num w:numId="18">
    <w:abstractNumId w:val="6"/>
  </w:num>
  <w:num w:numId="19">
    <w:abstractNumId w:val="15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02119F"/>
    <w:rsid w:val="0002119F"/>
    <w:rsid w:val="000C23E5"/>
    <w:rsid w:val="001065DC"/>
    <w:rsid w:val="001617F1"/>
    <w:rsid w:val="001816D5"/>
    <w:rsid w:val="001C3497"/>
    <w:rsid w:val="00250E41"/>
    <w:rsid w:val="00274BDB"/>
    <w:rsid w:val="002D7642"/>
    <w:rsid w:val="0034071F"/>
    <w:rsid w:val="00354A44"/>
    <w:rsid w:val="003A615D"/>
    <w:rsid w:val="003B55B1"/>
    <w:rsid w:val="003E72AC"/>
    <w:rsid w:val="00460527"/>
    <w:rsid w:val="004642EC"/>
    <w:rsid w:val="004C20BC"/>
    <w:rsid w:val="004D3C29"/>
    <w:rsid w:val="004F4688"/>
    <w:rsid w:val="005010AB"/>
    <w:rsid w:val="005021AF"/>
    <w:rsid w:val="00552C11"/>
    <w:rsid w:val="00564F77"/>
    <w:rsid w:val="005806E6"/>
    <w:rsid w:val="00610445"/>
    <w:rsid w:val="00612CDD"/>
    <w:rsid w:val="006274FC"/>
    <w:rsid w:val="006776CF"/>
    <w:rsid w:val="00684462"/>
    <w:rsid w:val="00697B58"/>
    <w:rsid w:val="006D6054"/>
    <w:rsid w:val="006F50CB"/>
    <w:rsid w:val="00700A42"/>
    <w:rsid w:val="00720050"/>
    <w:rsid w:val="0072407F"/>
    <w:rsid w:val="007B714E"/>
    <w:rsid w:val="007F7105"/>
    <w:rsid w:val="00845131"/>
    <w:rsid w:val="008504E6"/>
    <w:rsid w:val="008B50B0"/>
    <w:rsid w:val="008E2CD1"/>
    <w:rsid w:val="00915DCA"/>
    <w:rsid w:val="00937FAA"/>
    <w:rsid w:val="0098757E"/>
    <w:rsid w:val="009D0635"/>
    <w:rsid w:val="009D2566"/>
    <w:rsid w:val="009F3C6A"/>
    <w:rsid w:val="00A07BE3"/>
    <w:rsid w:val="00A40121"/>
    <w:rsid w:val="00A94F37"/>
    <w:rsid w:val="00A95E5E"/>
    <w:rsid w:val="00AA6416"/>
    <w:rsid w:val="00B215F8"/>
    <w:rsid w:val="00C01FA3"/>
    <w:rsid w:val="00C158F8"/>
    <w:rsid w:val="00C175BB"/>
    <w:rsid w:val="00C52748"/>
    <w:rsid w:val="00C535D3"/>
    <w:rsid w:val="00C72DE8"/>
    <w:rsid w:val="00D00F9C"/>
    <w:rsid w:val="00D17291"/>
    <w:rsid w:val="00D415E9"/>
    <w:rsid w:val="00D71F87"/>
    <w:rsid w:val="00DA6E23"/>
    <w:rsid w:val="00E27FAB"/>
    <w:rsid w:val="00E318F4"/>
    <w:rsid w:val="00E32EEB"/>
    <w:rsid w:val="00E566B9"/>
    <w:rsid w:val="00E61F2A"/>
    <w:rsid w:val="00F14986"/>
    <w:rsid w:val="00F457DE"/>
    <w:rsid w:val="00FA6799"/>
    <w:rsid w:val="00FA71E5"/>
    <w:rsid w:val="00F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19F"/>
    <w:rPr>
      <w:rFonts w:ascii="Times New Roman" w:eastAsia="Times New Roman" w:hAnsi="Times New Roman"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arcter"/>
    <w:qFormat/>
    <w:rsid w:val="009D0635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color w:val="auto"/>
      <w:sz w:val="28"/>
      <w:szCs w:val="28"/>
      <w:lang w:eastAsia="ja-JP"/>
    </w:rPr>
  </w:style>
  <w:style w:type="paragraph" w:styleId="Ttulo4">
    <w:name w:val="heading 4"/>
    <w:basedOn w:val="Normal"/>
    <w:next w:val="Normal"/>
    <w:link w:val="Ttulo4Carcter"/>
    <w:qFormat/>
    <w:rsid w:val="009D0635"/>
    <w:pPr>
      <w:keepNext/>
      <w:spacing w:before="240" w:after="60"/>
      <w:outlineLvl w:val="3"/>
    </w:pPr>
    <w:rPr>
      <w:rFonts w:eastAsia="MS Mincho"/>
      <w:b/>
      <w:bCs/>
      <w:color w:val="auto"/>
      <w:sz w:val="28"/>
      <w:szCs w:val="28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119F"/>
    <w:pPr>
      <w:ind w:left="708"/>
    </w:pPr>
    <w:rPr>
      <w:color w:val="auto"/>
    </w:rPr>
  </w:style>
  <w:style w:type="paragraph" w:styleId="Cabealho">
    <w:name w:val="header"/>
    <w:basedOn w:val="Normal"/>
    <w:link w:val="CabealhoCarcte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2119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2119F"/>
    <w:rPr>
      <w:rFonts w:ascii="Times New Roman" w:eastAsia="Times New Roman" w:hAnsi="Times New Roman"/>
      <w:bCs w:val="0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2119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2119F"/>
    <w:rPr>
      <w:rFonts w:ascii="Tahoma" w:eastAsia="Times New Roman" w:hAnsi="Tahoma" w:cs="Tahoma"/>
      <w:bCs w:val="0"/>
      <w:color w:val="000000"/>
      <w:sz w:val="16"/>
      <w:szCs w:val="16"/>
      <w:lang w:eastAsia="pt-PT"/>
    </w:rPr>
  </w:style>
  <w:style w:type="character" w:styleId="Hiperligao">
    <w:name w:val="Hyperlink"/>
    <w:basedOn w:val="Tipodeletrapredefinidodopargrafo"/>
    <w:unhideWhenUsed/>
    <w:rsid w:val="008E2CD1"/>
    <w:rPr>
      <w:color w:val="0000FF"/>
      <w:u w:val="single"/>
    </w:rPr>
  </w:style>
  <w:style w:type="paragraph" w:styleId="NormalWeb">
    <w:name w:val="Normal (Web)"/>
    <w:basedOn w:val="Normal"/>
    <w:rsid w:val="009D0635"/>
    <w:pPr>
      <w:spacing w:before="100" w:beforeAutospacing="1" w:after="100" w:afterAutospacing="1"/>
    </w:pPr>
    <w:rPr>
      <w:rFonts w:eastAsia="MS Mincho"/>
      <w:snapToGrid w:val="0"/>
      <w:color w:val="auto"/>
      <w:lang w:val="en-US"/>
    </w:rPr>
  </w:style>
  <w:style w:type="character" w:styleId="Forte">
    <w:name w:val="Strong"/>
    <w:basedOn w:val="Tipodeletrapredefinidodopargrafo"/>
    <w:qFormat/>
    <w:rsid w:val="009D0635"/>
    <w:rPr>
      <w:rFonts w:cs="Times New Roman"/>
      <w:b/>
      <w:bCs/>
    </w:rPr>
  </w:style>
  <w:style w:type="paragraph" w:styleId="Corpodetexto">
    <w:name w:val="Body Text"/>
    <w:basedOn w:val="Normal"/>
    <w:link w:val="CorpodetextoCarcter"/>
    <w:rsid w:val="009D0635"/>
    <w:pPr>
      <w:spacing w:after="120"/>
    </w:pPr>
    <w:rPr>
      <w:rFonts w:eastAsia="MS Mincho"/>
      <w:color w:val="auto"/>
      <w:lang w:eastAsia="ja-JP"/>
    </w:rPr>
  </w:style>
  <w:style w:type="character" w:customStyle="1" w:styleId="CorpodetextoCarcter">
    <w:name w:val="Corpo de texto Carácter"/>
    <w:basedOn w:val="Tipodeletrapredefinidodopargrafo"/>
    <w:link w:val="Corpodetexto"/>
    <w:rsid w:val="009D0635"/>
    <w:rPr>
      <w:rFonts w:ascii="Times New Roman" w:eastAsia="MS Mincho" w:hAnsi="Times New Roman"/>
      <w:bCs w:val="0"/>
      <w:sz w:val="24"/>
      <w:szCs w:val="24"/>
      <w:lang w:eastAsia="ja-JP"/>
    </w:rPr>
  </w:style>
  <w:style w:type="character" w:customStyle="1" w:styleId="Ttulo2Carcter">
    <w:name w:val="Título 2 Carácter"/>
    <w:basedOn w:val="Tipodeletrapredefinidodopargrafo"/>
    <w:link w:val="Ttulo2"/>
    <w:rsid w:val="009D0635"/>
    <w:rPr>
      <w:rFonts w:ascii="Arial" w:eastAsia="MS Mincho" w:hAnsi="Arial" w:cs="Arial"/>
      <w:b/>
      <w:i/>
      <w:iCs/>
      <w:sz w:val="28"/>
      <w:szCs w:val="28"/>
      <w:lang w:eastAsia="ja-JP"/>
    </w:rPr>
  </w:style>
  <w:style w:type="character" w:customStyle="1" w:styleId="Ttulo4Carcter">
    <w:name w:val="Título 4 Carácter"/>
    <w:basedOn w:val="Tipodeletrapredefinidodopargrafo"/>
    <w:link w:val="Ttulo4"/>
    <w:rsid w:val="009D0635"/>
    <w:rPr>
      <w:rFonts w:ascii="Times New Roman" w:eastAsia="MS Mincho" w:hAnsi="Times New Roman"/>
      <w:b/>
      <w:sz w:val="28"/>
      <w:szCs w:val="28"/>
      <w:lang w:eastAsia="ja-JP"/>
    </w:rPr>
  </w:style>
  <w:style w:type="paragraph" w:customStyle="1" w:styleId="Default">
    <w:name w:val="Default"/>
    <w:rsid w:val="00D415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Estilo">
    <w:name w:val="Estilo"/>
    <w:rsid w:val="00DA6E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comgrelha">
    <w:name w:val="Table Grid"/>
    <w:basedOn w:val="Tabelanormal"/>
    <w:uiPriority w:val="59"/>
    <w:rsid w:val="00697B58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7E9AB-DD75-41CD-B584-D34F9F99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1055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MCeu</cp:lastModifiedBy>
  <cp:revision>3</cp:revision>
  <cp:lastPrinted>2014-08-04T13:52:00Z</cp:lastPrinted>
  <dcterms:created xsi:type="dcterms:W3CDTF">2014-08-04T10:20:00Z</dcterms:created>
  <dcterms:modified xsi:type="dcterms:W3CDTF">2014-08-04T13:52:00Z</dcterms:modified>
</cp:coreProperties>
</file>