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BB74" w14:textId="79C538EE" w:rsidR="00CB11D4" w:rsidRPr="00BA1D00" w:rsidRDefault="00CB11D4" w:rsidP="00BA1D00">
      <w:pPr>
        <w:pStyle w:val="Ttulo1"/>
      </w:pPr>
      <w:r w:rsidRPr="00BA1D00">
        <w:t xml:space="preserve">Subespecialidade de </w:t>
      </w:r>
      <w:r w:rsidR="00312557" w:rsidRPr="00BA1D00">
        <w:t>Oftalmologia Pediátrica e Estrabismo</w:t>
      </w:r>
    </w:p>
    <w:p w14:paraId="54D82A5B" w14:textId="3A9D0D9C" w:rsidR="00C7218A" w:rsidRPr="00312557" w:rsidRDefault="00C7218A" w:rsidP="00BA1D00">
      <w:pPr>
        <w:pStyle w:val="Ttulo1"/>
      </w:pPr>
      <w:r w:rsidRPr="00312557">
        <w:t xml:space="preserve">Especialidade de </w:t>
      </w:r>
      <w:r w:rsidR="00312557" w:rsidRPr="00312557">
        <w:t>Oftalmologia</w:t>
      </w:r>
    </w:p>
    <w:p w14:paraId="7A93B86C" w14:textId="63904485" w:rsidR="00CB11D4" w:rsidRPr="00312557" w:rsidRDefault="00CB11D4" w:rsidP="00C94901"/>
    <w:p w14:paraId="29EC7879" w14:textId="250C1F06" w:rsidR="00312557" w:rsidRDefault="001D03AB" w:rsidP="00BA1D00">
      <w:pPr>
        <w:pStyle w:val="Ttulo2"/>
        <w:ind w:right="-795"/>
      </w:pPr>
      <w:r w:rsidRPr="001D03AB">
        <w:t xml:space="preserve">Programa </w:t>
      </w:r>
      <w:r>
        <w:t>d</w:t>
      </w:r>
      <w:r w:rsidRPr="001D03AB">
        <w:t xml:space="preserve">os Cursos </w:t>
      </w:r>
      <w:r>
        <w:t>d</w:t>
      </w:r>
      <w:r w:rsidRPr="001D03AB">
        <w:t xml:space="preserve">e Formação </w:t>
      </w:r>
      <w:r>
        <w:t>e</w:t>
      </w:r>
      <w:r w:rsidRPr="001D03AB">
        <w:t xml:space="preserve">m Oftalmologia Pediátrica </w:t>
      </w:r>
      <w:r>
        <w:t>e</w:t>
      </w:r>
      <w:r w:rsidRPr="001D03AB">
        <w:t xml:space="preserve"> Estrabismo</w:t>
      </w:r>
    </w:p>
    <w:p w14:paraId="40AF8E41" w14:textId="53D99E04" w:rsidR="001D03AB" w:rsidRPr="001D03AB" w:rsidRDefault="00B925F1" w:rsidP="00B925F1">
      <w:pPr>
        <w:pStyle w:val="Ttulo3"/>
        <w:rPr>
          <w:lang w:eastAsia="en-US"/>
        </w:rPr>
      </w:pPr>
      <w:r>
        <w:rPr>
          <w:lang w:eastAsia="en-US"/>
        </w:rPr>
        <w:t>Programa</w:t>
      </w:r>
    </w:p>
    <w:p w14:paraId="125EB3E9" w14:textId="77777777" w:rsidR="00312557" w:rsidRPr="00BA1D00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  <w:rPr>
          <w:szCs w:val="21"/>
        </w:rPr>
      </w:pPr>
      <w:r w:rsidRPr="00BA1D00">
        <w:rPr>
          <w:szCs w:val="21"/>
        </w:rPr>
        <w:t xml:space="preserve">Duração do curso de formação: 24 meses (inclui 2 meses de férias). </w:t>
      </w:r>
    </w:p>
    <w:p w14:paraId="712DDE1A" w14:textId="77777777" w:rsidR="00312557" w:rsidRPr="00BA1D00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  <w:rPr>
          <w:szCs w:val="21"/>
        </w:rPr>
      </w:pPr>
      <w:r w:rsidRPr="00BA1D00">
        <w:rPr>
          <w:szCs w:val="21"/>
        </w:rPr>
        <w:t>Locais de formação: serviços de oftalmologia com idoneidade reconhecida pela Secção de Subespecialidade (ou, transitoriamente pela comissão instaladora). A idoneidade pode ser atribuída a</w:t>
      </w:r>
      <w:r w:rsidRPr="00BA1D00">
        <w:rPr>
          <w:color w:val="272B30"/>
          <w:szCs w:val="21"/>
        </w:rPr>
        <w:t xml:space="preserve"> unidades assistenciais de oftalmologia preferencialmente multidisciplinares públicas ou privadas, que demonstrem recursos humanos e tecnológicos para a formação da subespecialidade.</w:t>
      </w:r>
      <w:r w:rsidRPr="00BA1D00">
        <w:rPr>
          <w:szCs w:val="21"/>
        </w:rPr>
        <w:t xml:space="preserve"> </w:t>
      </w:r>
    </w:p>
    <w:p w14:paraId="4D2D7CB1" w14:textId="77777777" w:rsidR="00312557" w:rsidRPr="00BA1D00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  <w:rPr>
          <w:szCs w:val="21"/>
        </w:rPr>
      </w:pPr>
      <w:r w:rsidRPr="00BA1D00">
        <w:rPr>
          <w:szCs w:val="21"/>
        </w:rPr>
        <w:t xml:space="preserve">Componentes formativas clínicas: </w:t>
      </w:r>
    </w:p>
    <w:p w14:paraId="651565EB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C1.  oftalmologia pediátrica </w:t>
      </w:r>
      <w:r w:rsidRPr="00BA1D00">
        <w:rPr>
          <w:szCs w:val="21"/>
        </w:rPr>
        <w:t xml:space="preserve">– período semanal mínimo de 12 horas onde se incluirá: </w:t>
      </w:r>
    </w:p>
    <w:p w14:paraId="00F3DD7D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C1.1. consulta geral de oftalmologia pediátrica: primeiras consultas, consultas provenientes do rastreio de saúde visual infantil e refração. </w:t>
      </w:r>
    </w:p>
    <w:p w14:paraId="2684B437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C1.2. consulta de oftalmologia pediátrica que inclua as seguintes patologias:  doenças/malformações da superfície ocular e do segmento anterior; catarata congénita; glaucoma congénito. </w:t>
      </w:r>
    </w:p>
    <w:p w14:paraId="4C027779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C1.3. consulta de oftalmologia pediátrica que inclua as seguintes patologias: doenças/malformações do semento posterior; persistência da vasculatura fetal; distrofias da retina; retinopatia da prematuridade. </w:t>
      </w:r>
    </w:p>
    <w:p w14:paraId="15AE4BF7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C1.4. consulta de oftalmologia pediátrica que inclua doentes com uveítes pediátricas. </w:t>
      </w:r>
    </w:p>
    <w:p w14:paraId="5AA50D48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C1.5. consulta de neuro-oftalmologia pediátrica; alterações da inervação da pupila; patologia/malformações do nervo óptico; neuropatias ópticas da infância; paralisias oculomotoras. </w:t>
      </w:r>
    </w:p>
    <w:p w14:paraId="08FB7919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C1.6. consulta de órbita pediátrica; patologia traumática; infeções/celulites; tumores da orbita na infância.  </w:t>
      </w:r>
    </w:p>
    <w:p w14:paraId="326163D0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C1.7. consulta de doenças metabólicas. </w:t>
      </w:r>
    </w:p>
    <w:p w14:paraId="5D3EF116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C1.8 consulta de baixa visão pediátrica  </w:t>
      </w:r>
    </w:p>
    <w:p w14:paraId="52B3C09E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C1.9. gabinete de eletrofisiologia ocular: potencias visuais evocados (PEV); eletroretinograma (ERG); eletro-oculograma (EOG) </w:t>
      </w:r>
    </w:p>
    <w:p w14:paraId="54F14F41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lastRenderedPageBreak/>
        <w:t xml:space="preserve">C1.10. gabinetes de exames complementares de diagnóstico e tratamento: Gabinete de ortóptica; avaliação multimodal da patologia ocular na infância.  </w:t>
      </w:r>
    </w:p>
    <w:p w14:paraId="17CEC712" w14:textId="0924B0FC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C1.11. estágio opcional de tumores oculares a realizar no centro de referência para onco-oftalmologia (CHUC) (frequência da consulta de retinoblastomas) </w:t>
      </w:r>
    </w:p>
    <w:p w14:paraId="72B7CD7C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rFonts w:eastAsia="Calibri" w:cs="Calibri"/>
          <w:b/>
          <w:szCs w:val="21"/>
        </w:rPr>
        <w:t>C2.</w:t>
      </w:r>
      <w:r w:rsidRPr="00BA1D00">
        <w:rPr>
          <w:szCs w:val="21"/>
        </w:rPr>
        <w:t xml:space="preserve"> </w:t>
      </w:r>
      <w:r w:rsidRPr="00BA1D00">
        <w:rPr>
          <w:rFonts w:eastAsia="Calibri" w:cs="Calibri"/>
          <w:b/>
          <w:szCs w:val="21"/>
        </w:rPr>
        <w:t xml:space="preserve">estrabismo na criança e no adulto </w:t>
      </w:r>
      <w:r w:rsidRPr="00BA1D00">
        <w:rPr>
          <w:szCs w:val="21"/>
        </w:rPr>
        <w:t>– período semanal mínimo de 8 horas onde se incluirá:</w:t>
      </w:r>
      <w:r w:rsidRPr="00BA1D00">
        <w:rPr>
          <w:rFonts w:eastAsia="Calibri" w:cs="Calibri"/>
          <w:b/>
          <w:szCs w:val="21"/>
        </w:rPr>
        <w:t xml:space="preserve"> </w:t>
      </w:r>
    </w:p>
    <w:p w14:paraId="105306FC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C2.1. consulta de clínica do estrabismo e da motilidade ocular; estudo dos nistagmos. </w:t>
      </w:r>
    </w:p>
    <w:p w14:paraId="5C3FAB77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C2.2. consulta de planos operatórios e de avaliação pós operatória. </w:t>
      </w:r>
    </w:p>
    <w:p w14:paraId="11A1DDBC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C2.3. gabinete de exames complementares de diagnóstico e tratamento: gabinete de ortóptica; avaliação motor e sensorial; tratamento médico do estrabismo. </w:t>
      </w:r>
    </w:p>
    <w:p w14:paraId="43ED1628" w14:textId="10EA3EE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C2.4. currículo cirúrgico mínimo definido em C4.3. </w:t>
      </w:r>
    </w:p>
    <w:p w14:paraId="7977CC54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C3. serviço de urgência de oftalmologia em unidade hospitalar com urgência pediátrica.  </w:t>
      </w:r>
    </w:p>
    <w:p w14:paraId="4135931D" w14:textId="7BBB0715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C3.1. período semanal mínimo de 6 horas em unidade hospitalar com urgência pediátrica. Deve ser realizada sem sobreposição, com o horário dedicado aos estágios específicos.  </w:t>
      </w:r>
    </w:p>
    <w:p w14:paraId="3F59A849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rFonts w:eastAsia="Calibri" w:cs="Calibri"/>
          <w:b/>
          <w:szCs w:val="21"/>
        </w:rPr>
        <w:t>C4. bloco operatório</w:t>
      </w:r>
      <w:r w:rsidRPr="00BA1D00">
        <w:rPr>
          <w:szCs w:val="21"/>
        </w:rPr>
        <w:t xml:space="preserve"> – currículo cirúrgico: frequência mínima de 1 período por semana. Deve cumprir os itens C4.1., C4.2. e C4.3. </w:t>
      </w:r>
    </w:p>
    <w:p w14:paraId="6D99CFCF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C4.1. cirurgia de oftalmologia pediátrica:  participar em, pelo menos, 5 cirurgias de catarata pediátrica; 5 cirurgias de glaucoma pediátrico; 20 cirurgias de pálpebras, vias lacrimais e órbita em doentes com idade pediátrica.  </w:t>
      </w:r>
    </w:p>
    <w:p w14:paraId="40C6297E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C4.2. tratamento de retinopatia da prematuridade. Participar no rastreio/observação de pelo menos 30 prematuros. Participar no tratamento de pelo menos 5 prematuros (os tratamentos podem ser realizados em unidades neonatais). </w:t>
      </w:r>
    </w:p>
    <w:p w14:paraId="68379080" w14:textId="493265A0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C4.3. cirurgia de estrabismo: participar em pelo menos 50 cirurgias de estrabismo da criança e/ou do adulto, sendo cirurgião principal em pelo menos 30 cirurgias; a cirurgia deve ser diversificada, incluindo a abordagem de todos os músculos extra-oculares). </w:t>
      </w:r>
    </w:p>
    <w:p w14:paraId="36AF7543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A frequência dos estágios obrigatórios de Oftalmologia Pediátrica e Estrabismo complementa-se com objetivos teóricos e práticos do conhecimento e com os respetivos objetivos de desempenho, definidos pelo programa teórico (D). </w:t>
      </w:r>
    </w:p>
    <w:p w14:paraId="0432615D" w14:textId="77777777" w:rsidR="00312557" w:rsidRPr="00BA1D00" w:rsidRDefault="00312557" w:rsidP="0010599F">
      <w:pPr>
        <w:spacing w:after="240" w:line="240" w:lineRule="auto"/>
        <w:ind w:left="567"/>
        <w:rPr>
          <w:szCs w:val="21"/>
        </w:rPr>
      </w:pPr>
      <w:r w:rsidRPr="00BA1D00">
        <w:rPr>
          <w:szCs w:val="21"/>
        </w:rPr>
        <w:t xml:space="preserve">Em adição à frequência dos estágios, a aquisição de competências durante o curso de formação em Oftalmologia Pediátrica e Estrabismo terá por base </w:t>
      </w:r>
      <w:r w:rsidRPr="00BA1D00">
        <w:rPr>
          <w:szCs w:val="21"/>
        </w:rPr>
        <w:lastRenderedPageBreak/>
        <w:t xml:space="preserve">ferramentas pedagógicas específicas (D).  </w:t>
      </w:r>
    </w:p>
    <w:p w14:paraId="1BCDCDFB" w14:textId="77777777" w:rsidR="00312557" w:rsidRPr="00BA1D00" w:rsidRDefault="00312557" w:rsidP="0010599F">
      <w:pPr>
        <w:spacing w:after="240" w:line="240" w:lineRule="auto"/>
        <w:ind w:left="567"/>
        <w:jc w:val="left"/>
        <w:rPr>
          <w:szCs w:val="21"/>
        </w:rPr>
      </w:pPr>
      <w:r w:rsidRPr="00BA1D00">
        <w:rPr>
          <w:szCs w:val="21"/>
        </w:rPr>
        <w:t xml:space="preserve"> </w:t>
      </w:r>
    </w:p>
    <w:p w14:paraId="2EEB2B29" w14:textId="1F18DA6F" w:rsidR="00312557" w:rsidRPr="00BA1D00" w:rsidRDefault="00312557" w:rsidP="0010599F">
      <w:pPr>
        <w:spacing w:after="240" w:line="240" w:lineRule="auto"/>
        <w:ind w:left="709" w:hanging="425"/>
        <w:rPr>
          <w:szCs w:val="21"/>
        </w:rPr>
      </w:pPr>
      <w:r w:rsidRPr="00BA1D00">
        <w:rPr>
          <w:szCs w:val="21"/>
        </w:rPr>
        <w:t>D.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rFonts w:eastAsia="Calibri" w:cs="Calibri"/>
          <w:b/>
          <w:szCs w:val="21"/>
        </w:rPr>
        <w:t>PROGRAMA TEÓRICO A DESENVOLVER SIMULTANEAMENTE COM OS ESTÁGIOS</w:t>
      </w:r>
      <w:r w:rsidRPr="00BA1D00">
        <w:rPr>
          <w:szCs w:val="21"/>
        </w:rPr>
        <w:t xml:space="preserve">.  </w:t>
      </w:r>
    </w:p>
    <w:p w14:paraId="4936145D" w14:textId="77777777" w:rsidR="00312557" w:rsidRPr="00BA1D00" w:rsidRDefault="00312557" w:rsidP="0010599F">
      <w:pPr>
        <w:spacing w:after="240" w:line="240" w:lineRule="auto"/>
        <w:ind w:firstLine="284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Ferramentas pedagógicas:  </w:t>
      </w:r>
    </w:p>
    <w:p w14:paraId="3AB801DC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Aulas teóricas e teórico-práticas ministradas pelos formadores. </w:t>
      </w:r>
    </w:p>
    <w:p w14:paraId="402C391A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Apresentações teóricas. </w:t>
      </w:r>
    </w:p>
    <w:p w14:paraId="7B976EA9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Sessões clínicas com discussão de casos clínicos. </w:t>
      </w:r>
    </w:p>
    <w:p w14:paraId="7B7D4FE3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Atividade de docência no âmbito da formação de internos de especialidade e alunos de mestrado em medicina. </w:t>
      </w:r>
    </w:p>
    <w:p w14:paraId="116EB978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Atividade de investigação clínica e/ou laboratorial relacionada com a área específica do conhecimento. </w:t>
      </w:r>
    </w:p>
    <w:p w14:paraId="5FCDE9C3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Apresentação pública de trabalhos relacionadas com a área específica do conhecimento. </w:t>
      </w:r>
    </w:p>
    <w:p w14:paraId="798DCE61" w14:textId="77777777" w:rsidR="00312557" w:rsidRPr="00BA1D00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  <w:rPr>
          <w:szCs w:val="21"/>
        </w:rPr>
      </w:pPr>
      <w:r w:rsidRPr="00BA1D00">
        <w:rPr>
          <w:szCs w:val="21"/>
        </w:rPr>
        <w:t xml:space="preserve">Participação em congressos e reuniões científicas relacionadas com a área específica do conhecimento. </w:t>
      </w:r>
    </w:p>
    <w:p w14:paraId="61318F4E" w14:textId="29B2F07C" w:rsidR="00312557" w:rsidRPr="00BA1D00" w:rsidRDefault="00312557" w:rsidP="0010599F">
      <w:pPr>
        <w:spacing w:after="240" w:line="240" w:lineRule="auto"/>
        <w:ind w:left="1214"/>
        <w:jc w:val="left"/>
        <w:rPr>
          <w:szCs w:val="21"/>
        </w:rPr>
      </w:pPr>
    </w:p>
    <w:p w14:paraId="45539873" w14:textId="7F9C1108" w:rsidR="00312557" w:rsidRPr="00BA1D00" w:rsidRDefault="00312557" w:rsidP="00B925F1">
      <w:pPr>
        <w:pStyle w:val="Ttulo3"/>
      </w:pPr>
      <w:r w:rsidRPr="00BA1D00">
        <w:t>(i)</w:t>
      </w:r>
      <w:r w:rsidRPr="00BA1D00">
        <w:rPr>
          <w:rFonts w:eastAsia="Arial" w:cs="Arial"/>
        </w:rPr>
        <w:t xml:space="preserve"> </w:t>
      </w:r>
      <w:r w:rsidRPr="00BA1D00">
        <w:t>OBJETIVOS TEÓRICOS E PRÁTICOS DO CONHECIMENTO</w:t>
      </w:r>
    </w:p>
    <w:p w14:paraId="797D9E67" w14:textId="77777777" w:rsidR="00312557" w:rsidRPr="00BA1D00" w:rsidRDefault="00312557" w:rsidP="00B925F1">
      <w:pPr>
        <w:widowControl/>
        <w:numPr>
          <w:ilvl w:val="0"/>
          <w:numId w:val="19"/>
        </w:numPr>
        <w:autoSpaceDE/>
        <w:autoSpaceDN/>
        <w:ind w:hanging="360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Oftalmologia Pediátrica: </w:t>
      </w:r>
      <w:r w:rsidRPr="00BA1D00">
        <w:rPr>
          <w:szCs w:val="21"/>
        </w:rPr>
        <w:t xml:space="preserve"> </w:t>
      </w:r>
    </w:p>
    <w:p w14:paraId="6332DF49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Embriogénese e genética ocular. Malformações congénitas do aparelho visual. </w:t>
      </w:r>
    </w:p>
    <w:p w14:paraId="31ACD5C0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Evolução da anatomia e da fisiologia do globo ocular e dos anexos na infância. </w:t>
      </w:r>
    </w:p>
    <w:p w14:paraId="4E91059C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Desenvolvimento da função visual na criança.  </w:t>
      </w:r>
    </w:p>
    <w:p w14:paraId="2C9109DD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Evolução da refração na infância. </w:t>
      </w:r>
    </w:p>
    <w:p w14:paraId="5334351B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Exame clínico em oftalmologia pediátrica: técnicas básicas de diagnóstico na criança. </w:t>
      </w:r>
    </w:p>
    <w:p w14:paraId="14E63423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Técnicas de avaliação da acuidade visual adaptadas à criança. </w:t>
      </w:r>
    </w:p>
    <w:p w14:paraId="5E6AE8B2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Visão e aprendizagem. </w:t>
      </w:r>
    </w:p>
    <w:p w14:paraId="466DE787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Patologias genéticas e sindrómicas com impacto oftalmológico. </w:t>
      </w:r>
    </w:p>
    <w:p w14:paraId="01581158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Manifestações oculares de patologias sistémicas na infância; doenças metabólicas.  </w:t>
      </w:r>
    </w:p>
    <w:p w14:paraId="2A9E14A4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Doença visual do prematuro; retinopatia da prematuridade: fisiopatologia, rastreio e tratamento.  </w:t>
      </w:r>
    </w:p>
    <w:p w14:paraId="0D8AAFD9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Patologia palpebral na infância. </w:t>
      </w:r>
    </w:p>
    <w:p w14:paraId="1C88D5C3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lastRenderedPageBreak/>
        <w:t xml:space="preserve">Patologia das vias lacrimais e anexos oculares.  </w:t>
      </w:r>
    </w:p>
    <w:p w14:paraId="487D6554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Patologia orbitária na infância; traumatismo, doenças inflamatórias, tumores. </w:t>
      </w:r>
    </w:p>
    <w:p w14:paraId="0DA534A7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Doenças da superfície ocular na infância. </w:t>
      </w:r>
    </w:p>
    <w:p w14:paraId="15E1A078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Patologia do segmento anterior na infância; distrofias de córnea, disgenesias do segmento anterior; catarata pediátrica. </w:t>
      </w:r>
    </w:p>
    <w:p w14:paraId="0BD5DF1C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Doenças da retina e do vítreo na infância. </w:t>
      </w:r>
    </w:p>
    <w:p w14:paraId="26DCDB89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Doenças inflamatórias do globo ocular; uveítes na infância.  </w:t>
      </w:r>
    </w:p>
    <w:p w14:paraId="01DEF09D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Glaucoma pediátrico. </w:t>
      </w:r>
    </w:p>
    <w:p w14:paraId="60C16258" w14:textId="119C0FCF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Neuroftalmologia pediátrica: alterações da inervação da </w:t>
      </w:r>
      <w:r w:rsidRPr="00BA1D00">
        <w:rPr>
          <w:szCs w:val="21"/>
        </w:rPr>
        <w:tab/>
        <w:t xml:space="preserve">pupila; patologia/malformações do nervo óptico; neuropatias ópticas da infância; paralisias oculomotoras. </w:t>
      </w:r>
    </w:p>
    <w:p w14:paraId="75E6A35C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Patologia infeciosa do globo ocular na criança. </w:t>
      </w:r>
    </w:p>
    <w:p w14:paraId="2C15E5A7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Traumatismos oculares pediátricos e traumatismos crânio-encefálicos com impacto oftalmológico. </w:t>
      </w:r>
    </w:p>
    <w:p w14:paraId="5F17FA6D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Tumores oculares pediátricos. </w:t>
      </w:r>
    </w:p>
    <w:p w14:paraId="35EF21BB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Baixa visão e ajudas técnicas na infância. </w:t>
      </w:r>
    </w:p>
    <w:p w14:paraId="31EDDF9F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Imagiologia (ecografia, TAC e RM) em oftalmologia pediátrica. </w:t>
      </w:r>
    </w:p>
    <w:p w14:paraId="0DA8A4B1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Avaliação multimodal em oftalmologia pediátrica. </w:t>
      </w:r>
    </w:p>
    <w:p w14:paraId="19C2CA2F" w14:textId="04B2BF28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>Estudo eletrofisiológico da função visual; potencias visuais evocados</w:t>
      </w:r>
      <w:r w:rsidR="00124812" w:rsidRPr="00BA1D00">
        <w:rPr>
          <w:szCs w:val="21"/>
        </w:rPr>
        <w:t xml:space="preserve"> </w:t>
      </w:r>
      <w:r w:rsidRPr="00BA1D00">
        <w:rPr>
          <w:szCs w:val="21"/>
        </w:rPr>
        <w:t xml:space="preserve">(PEV); eletro-retinograma (ERG); eletro-oculograma (EOG). </w:t>
      </w:r>
    </w:p>
    <w:p w14:paraId="60D3232C" w14:textId="77777777" w:rsidR="00312557" w:rsidRPr="00BA1D00" w:rsidRDefault="00312557" w:rsidP="00B925F1">
      <w:pPr>
        <w:widowControl/>
        <w:numPr>
          <w:ilvl w:val="1"/>
          <w:numId w:val="19"/>
        </w:numPr>
        <w:autoSpaceDE/>
        <w:autoSpaceDN/>
        <w:ind w:left="1276" w:hanging="427"/>
        <w:rPr>
          <w:szCs w:val="21"/>
        </w:rPr>
      </w:pPr>
      <w:r w:rsidRPr="00BA1D00">
        <w:rPr>
          <w:szCs w:val="21"/>
        </w:rPr>
        <w:t xml:space="preserve">Rastreios visuais na infância. </w:t>
      </w:r>
    </w:p>
    <w:p w14:paraId="323FAD74" w14:textId="77777777" w:rsidR="0010599F" w:rsidRPr="00BA1D00" w:rsidRDefault="0010599F" w:rsidP="00B925F1">
      <w:pPr>
        <w:widowControl/>
        <w:autoSpaceDE/>
        <w:autoSpaceDN/>
        <w:ind w:left="849"/>
        <w:rPr>
          <w:szCs w:val="21"/>
        </w:rPr>
      </w:pPr>
    </w:p>
    <w:p w14:paraId="16E80EBB" w14:textId="5FE9B5EA" w:rsidR="00312557" w:rsidRPr="00BA1D00" w:rsidRDefault="00312557" w:rsidP="00B925F1">
      <w:pPr>
        <w:widowControl/>
        <w:numPr>
          <w:ilvl w:val="0"/>
          <w:numId w:val="19"/>
        </w:numPr>
        <w:autoSpaceDE/>
        <w:autoSpaceDN/>
        <w:ind w:left="1134" w:hanging="360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Estrabismo: </w:t>
      </w:r>
      <w:r w:rsidRPr="00BA1D00">
        <w:rPr>
          <w:szCs w:val="21"/>
        </w:rPr>
        <w:t xml:space="preserve"> </w:t>
      </w:r>
    </w:p>
    <w:p w14:paraId="5F89C943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1.1.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Anatomia e funções das estruturas oculomotoras. </w:t>
      </w:r>
    </w:p>
    <w:p w14:paraId="43FB0B6C" w14:textId="77777777" w:rsidR="00312557" w:rsidRPr="00BA1D00" w:rsidRDefault="00312557" w:rsidP="00B925F1">
      <w:pPr>
        <w:widowControl/>
        <w:numPr>
          <w:ilvl w:val="2"/>
          <w:numId w:val="21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Anatomia e funções musculares. </w:t>
      </w:r>
    </w:p>
    <w:p w14:paraId="10F20049" w14:textId="77777777" w:rsidR="00312557" w:rsidRPr="00BA1D00" w:rsidRDefault="00312557" w:rsidP="00B925F1">
      <w:pPr>
        <w:widowControl/>
        <w:numPr>
          <w:ilvl w:val="2"/>
          <w:numId w:val="21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Estrutura e fisiologia dos músculos extraoculares. Leis da inervação. </w:t>
      </w:r>
    </w:p>
    <w:p w14:paraId="2F01A007" w14:textId="77777777" w:rsidR="00312557" w:rsidRPr="00BA1D00" w:rsidRDefault="00312557" w:rsidP="00B925F1">
      <w:pPr>
        <w:widowControl/>
        <w:numPr>
          <w:ilvl w:val="2"/>
          <w:numId w:val="21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Anatomia e função das estruturas de suporte muscular. </w:t>
      </w:r>
    </w:p>
    <w:p w14:paraId="6C64E629" w14:textId="77777777" w:rsidR="00312557" w:rsidRPr="00BA1D00" w:rsidRDefault="00312557" w:rsidP="00B925F1">
      <w:pPr>
        <w:widowControl/>
        <w:numPr>
          <w:ilvl w:val="2"/>
          <w:numId w:val="21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Movimentos oculares simples e complexos; planos espaciais. </w:t>
      </w:r>
    </w:p>
    <w:p w14:paraId="75DEA6E1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1.2.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Aspetos sensoriais na clínica de estrabismo. </w:t>
      </w:r>
    </w:p>
    <w:p w14:paraId="79B50CD5" w14:textId="77777777" w:rsidR="00312557" w:rsidRPr="00BA1D00" w:rsidRDefault="00312557" w:rsidP="00B925F1">
      <w:pPr>
        <w:widowControl/>
        <w:numPr>
          <w:ilvl w:val="2"/>
          <w:numId w:val="23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Adaptações sensoriais na infância. </w:t>
      </w:r>
    </w:p>
    <w:p w14:paraId="31BA3467" w14:textId="77777777" w:rsidR="00312557" w:rsidRPr="00BA1D00" w:rsidRDefault="00312557" w:rsidP="00B925F1">
      <w:pPr>
        <w:widowControl/>
        <w:numPr>
          <w:ilvl w:val="2"/>
          <w:numId w:val="23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Avaliação sensorial na infância. Testes de avaliação sensorial. </w:t>
      </w:r>
    </w:p>
    <w:p w14:paraId="4F7911FC" w14:textId="77777777" w:rsidR="00312557" w:rsidRPr="00BA1D00" w:rsidRDefault="00312557" w:rsidP="00B925F1">
      <w:pPr>
        <w:widowControl/>
        <w:numPr>
          <w:ilvl w:val="1"/>
          <w:numId w:val="27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Ambliopia. Causas, fisiopatologia e tratamento. </w:t>
      </w:r>
    </w:p>
    <w:p w14:paraId="72B3BDB8" w14:textId="77777777" w:rsidR="00312557" w:rsidRPr="00BA1D00" w:rsidRDefault="00312557" w:rsidP="00B925F1">
      <w:pPr>
        <w:widowControl/>
        <w:numPr>
          <w:ilvl w:val="1"/>
          <w:numId w:val="27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Classificação dos vários tipos de estrabismo </w:t>
      </w:r>
    </w:p>
    <w:p w14:paraId="74823F7D" w14:textId="77777777" w:rsidR="00312557" w:rsidRPr="00BA1D00" w:rsidRDefault="00312557" w:rsidP="00B925F1">
      <w:pPr>
        <w:widowControl/>
        <w:numPr>
          <w:ilvl w:val="2"/>
          <w:numId w:val="22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Estrabismos concomitantes e inconcomitantes.  </w:t>
      </w:r>
    </w:p>
    <w:p w14:paraId="43CAA428" w14:textId="77777777" w:rsidR="00312557" w:rsidRPr="00BA1D00" w:rsidRDefault="00312557" w:rsidP="00B925F1">
      <w:pPr>
        <w:widowControl/>
        <w:numPr>
          <w:ilvl w:val="2"/>
          <w:numId w:val="22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Estrabismos horizontais e cicloverticais. </w:t>
      </w:r>
    </w:p>
    <w:p w14:paraId="50087536" w14:textId="77777777" w:rsidR="00312557" w:rsidRPr="00BA1D00" w:rsidRDefault="00312557" w:rsidP="00B925F1">
      <w:pPr>
        <w:widowControl/>
        <w:numPr>
          <w:ilvl w:val="2"/>
          <w:numId w:val="22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Formas especiais de estrabismo.  </w:t>
      </w:r>
    </w:p>
    <w:p w14:paraId="6F857AEC" w14:textId="77777777" w:rsidR="00312557" w:rsidRPr="00BA1D00" w:rsidRDefault="00312557" w:rsidP="00B925F1">
      <w:pPr>
        <w:widowControl/>
        <w:numPr>
          <w:ilvl w:val="2"/>
          <w:numId w:val="22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Síndromes de desinervação craniana. </w:t>
      </w:r>
    </w:p>
    <w:p w14:paraId="6EC9958F" w14:textId="77777777" w:rsidR="00312557" w:rsidRPr="00BA1D00" w:rsidRDefault="00312557" w:rsidP="00B925F1">
      <w:pPr>
        <w:widowControl/>
        <w:numPr>
          <w:ilvl w:val="2"/>
          <w:numId w:val="22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Nistagmos. </w:t>
      </w:r>
    </w:p>
    <w:p w14:paraId="467B8975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1.5.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Estudo das alterações oculomotoras. Métodos de avaliação do desvio. </w:t>
      </w:r>
    </w:p>
    <w:p w14:paraId="0C5526BF" w14:textId="77777777" w:rsidR="00312557" w:rsidRPr="00BA1D00" w:rsidRDefault="00312557" w:rsidP="00B925F1">
      <w:pPr>
        <w:widowControl/>
        <w:numPr>
          <w:ilvl w:val="2"/>
          <w:numId w:val="28"/>
        </w:numPr>
        <w:autoSpaceDE/>
        <w:autoSpaceDN/>
        <w:ind w:left="1845" w:hanging="710"/>
        <w:rPr>
          <w:szCs w:val="21"/>
        </w:rPr>
      </w:pPr>
      <w:r w:rsidRPr="00BA1D00">
        <w:rPr>
          <w:szCs w:val="21"/>
        </w:rPr>
        <w:t xml:space="preserve">Tipos de Cover test; medição com prismas. </w:t>
      </w:r>
    </w:p>
    <w:p w14:paraId="39BC2DAD" w14:textId="77777777" w:rsidR="00312557" w:rsidRPr="00BA1D00" w:rsidRDefault="00312557" w:rsidP="00B925F1">
      <w:pPr>
        <w:widowControl/>
        <w:numPr>
          <w:ilvl w:val="2"/>
          <w:numId w:val="28"/>
        </w:numPr>
        <w:autoSpaceDE/>
        <w:autoSpaceDN/>
        <w:ind w:left="1845" w:hanging="710"/>
        <w:rPr>
          <w:szCs w:val="21"/>
        </w:rPr>
      </w:pPr>
      <w:r w:rsidRPr="00BA1D00">
        <w:rPr>
          <w:szCs w:val="21"/>
        </w:rPr>
        <w:t xml:space="preserve">Sinoptofóro e Sinoptómetro. </w:t>
      </w:r>
    </w:p>
    <w:p w14:paraId="033119D9" w14:textId="77777777" w:rsidR="00312557" w:rsidRPr="00BA1D00" w:rsidRDefault="00312557" w:rsidP="00B925F1">
      <w:pPr>
        <w:widowControl/>
        <w:numPr>
          <w:ilvl w:val="2"/>
          <w:numId w:val="28"/>
        </w:numPr>
        <w:autoSpaceDE/>
        <w:autoSpaceDN/>
        <w:ind w:left="1845" w:hanging="710"/>
        <w:rPr>
          <w:szCs w:val="21"/>
        </w:rPr>
      </w:pPr>
      <w:r w:rsidRPr="00BA1D00">
        <w:rPr>
          <w:szCs w:val="21"/>
        </w:rPr>
        <w:lastRenderedPageBreak/>
        <w:t xml:space="preserve">Écrans de avaliação com dissociação de imagem; coordimetria: ecrã de Hess e correspondentes. </w:t>
      </w:r>
    </w:p>
    <w:p w14:paraId="0DB93EB3" w14:textId="77777777" w:rsidR="00312557" w:rsidRPr="00BA1D00" w:rsidRDefault="00312557" w:rsidP="00B925F1">
      <w:pPr>
        <w:widowControl/>
        <w:numPr>
          <w:ilvl w:val="2"/>
          <w:numId w:val="28"/>
        </w:numPr>
        <w:autoSpaceDE/>
        <w:autoSpaceDN/>
        <w:ind w:left="1845" w:hanging="710"/>
        <w:rPr>
          <w:szCs w:val="21"/>
        </w:rPr>
      </w:pPr>
      <w:r w:rsidRPr="00BA1D00">
        <w:rPr>
          <w:szCs w:val="21"/>
        </w:rPr>
        <w:t xml:space="preserve">Aplicação da imagiologia na avaliação do estrabismo. </w:t>
      </w:r>
    </w:p>
    <w:p w14:paraId="16A71A98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1.6.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Estudo sensorial. Estudo da visão binocular. </w:t>
      </w:r>
    </w:p>
    <w:p w14:paraId="23B4013A" w14:textId="77777777" w:rsidR="00312557" w:rsidRPr="00BA1D00" w:rsidRDefault="00312557" w:rsidP="00B925F1">
      <w:pPr>
        <w:widowControl/>
        <w:numPr>
          <w:ilvl w:val="2"/>
          <w:numId w:val="20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Fundamentos da visão binocular. </w:t>
      </w:r>
    </w:p>
    <w:p w14:paraId="4B9FD6E6" w14:textId="77777777" w:rsidR="00312557" w:rsidRPr="00BA1D00" w:rsidRDefault="00312557" w:rsidP="00B925F1">
      <w:pPr>
        <w:widowControl/>
        <w:numPr>
          <w:ilvl w:val="2"/>
          <w:numId w:val="20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Correspondência retiniana. Testes de avaliação. </w:t>
      </w:r>
    </w:p>
    <w:p w14:paraId="4E0424AC" w14:textId="77777777" w:rsidR="00312557" w:rsidRPr="00BA1D00" w:rsidRDefault="00312557" w:rsidP="00B925F1">
      <w:pPr>
        <w:widowControl/>
        <w:numPr>
          <w:ilvl w:val="2"/>
          <w:numId w:val="20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Perceção simultânea, bifixação e estereopsia. Testes de avaliação. </w:t>
      </w:r>
    </w:p>
    <w:p w14:paraId="0FFFC2A3" w14:textId="77777777" w:rsidR="00312557" w:rsidRPr="00BA1D00" w:rsidRDefault="00312557" w:rsidP="00B925F1">
      <w:pPr>
        <w:widowControl/>
        <w:numPr>
          <w:ilvl w:val="2"/>
          <w:numId w:val="20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Diplopia. métodos de avaliação e quantificação. </w:t>
      </w:r>
    </w:p>
    <w:p w14:paraId="61DAAD1F" w14:textId="77777777" w:rsidR="00312557" w:rsidRPr="00BA1D00" w:rsidRDefault="00312557" w:rsidP="00B925F1">
      <w:pPr>
        <w:widowControl/>
        <w:numPr>
          <w:ilvl w:val="2"/>
          <w:numId w:val="20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Aplicação da realidade virtual na quantificação integral do desvio no estrabismo parético . </w:t>
      </w:r>
    </w:p>
    <w:p w14:paraId="1D306A29" w14:textId="77777777" w:rsidR="00312557" w:rsidRPr="00BA1D00" w:rsidRDefault="00312557" w:rsidP="00B925F1">
      <w:pPr>
        <w:widowControl/>
        <w:numPr>
          <w:ilvl w:val="1"/>
          <w:numId w:val="24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Fundamentos do tratamento do estrabismo. </w:t>
      </w:r>
    </w:p>
    <w:p w14:paraId="65656FF3" w14:textId="77777777" w:rsidR="00312557" w:rsidRPr="00BA1D00" w:rsidRDefault="00312557" w:rsidP="00B925F1">
      <w:pPr>
        <w:widowControl/>
        <w:numPr>
          <w:ilvl w:val="1"/>
          <w:numId w:val="24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Tratamento médico do estrabismo.  </w:t>
      </w:r>
    </w:p>
    <w:p w14:paraId="7F849AEF" w14:textId="77777777" w:rsidR="00312557" w:rsidRPr="00BA1D00" w:rsidRDefault="00312557" w:rsidP="00B925F1">
      <w:pPr>
        <w:widowControl/>
        <w:numPr>
          <w:ilvl w:val="2"/>
          <w:numId w:val="25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Tratamento ótico.  </w:t>
      </w:r>
    </w:p>
    <w:p w14:paraId="1D38C4FA" w14:textId="77777777" w:rsidR="00312557" w:rsidRPr="00BA1D00" w:rsidRDefault="00312557" w:rsidP="00B925F1">
      <w:pPr>
        <w:widowControl/>
        <w:numPr>
          <w:ilvl w:val="2"/>
          <w:numId w:val="25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Prismas. </w:t>
      </w:r>
    </w:p>
    <w:p w14:paraId="25E971EE" w14:textId="77777777" w:rsidR="00312557" w:rsidRPr="00BA1D00" w:rsidRDefault="00312557" w:rsidP="00B925F1">
      <w:pPr>
        <w:widowControl/>
        <w:numPr>
          <w:ilvl w:val="2"/>
          <w:numId w:val="25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Tratamento farmacológico. </w:t>
      </w:r>
    </w:p>
    <w:p w14:paraId="07C47967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1.9.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Tratamento cirúrgico do estrabismo. </w:t>
      </w:r>
    </w:p>
    <w:p w14:paraId="177211E7" w14:textId="77777777" w:rsidR="00312557" w:rsidRPr="00BA1D00" w:rsidRDefault="00312557" w:rsidP="00B925F1">
      <w:pPr>
        <w:widowControl/>
        <w:numPr>
          <w:ilvl w:val="2"/>
          <w:numId w:val="26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Cirurgia clássica. </w:t>
      </w:r>
    </w:p>
    <w:p w14:paraId="0E258836" w14:textId="77777777" w:rsidR="00312557" w:rsidRPr="00BA1D00" w:rsidRDefault="00312557" w:rsidP="00B925F1">
      <w:pPr>
        <w:widowControl/>
        <w:numPr>
          <w:ilvl w:val="2"/>
          <w:numId w:val="26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Miopexias. </w:t>
      </w:r>
    </w:p>
    <w:p w14:paraId="50E7496C" w14:textId="77777777" w:rsidR="00312557" w:rsidRPr="00BA1D00" w:rsidRDefault="00312557" w:rsidP="00B925F1">
      <w:pPr>
        <w:widowControl/>
        <w:numPr>
          <w:ilvl w:val="2"/>
          <w:numId w:val="26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Técnicas especiais de cirurgia do estrabismo. </w:t>
      </w:r>
    </w:p>
    <w:p w14:paraId="53F88ADA" w14:textId="77777777" w:rsidR="00312557" w:rsidRPr="00BA1D00" w:rsidRDefault="00312557" w:rsidP="00B925F1">
      <w:pPr>
        <w:widowControl/>
        <w:numPr>
          <w:ilvl w:val="2"/>
          <w:numId w:val="26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Tratamento cirúrgico do nistagmo. </w:t>
      </w:r>
    </w:p>
    <w:p w14:paraId="00F3A624" w14:textId="77777777" w:rsidR="00312557" w:rsidRPr="00BA1D00" w:rsidRDefault="00312557" w:rsidP="00B925F1">
      <w:pPr>
        <w:widowControl/>
        <w:numPr>
          <w:ilvl w:val="2"/>
          <w:numId w:val="26"/>
        </w:numPr>
        <w:autoSpaceDE/>
        <w:autoSpaceDN/>
        <w:ind w:hanging="708"/>
        <w:rPr>
          <w:szCs w:val="21"/>
        </w:rPr>
      </w:pPr>
      <w:r w:rsidRPr="00BA1D00">
        <w:rPr>
          <w:szCs w:val="21"/>
        </w:rPr>
        <w:t xml:space="preserve">Avaliação pós operatória. </w:t>
      </w:r>
    </w:p>
    <w:p w14:paraId="1E39577F" w14:textId="77777777" w:rsidR="00312557" w:rsidRPr="00BA1D00" w:rsidRDefault="00312557" w:rsidP="00B925F1">
      <w:pPr>
        <w:ind w:left="720"/>
        <w:rPr>
          <w:szCs w:val="21"/>
        </w:rPr>
      </w:pPr>
      <w:r w:rsidRPr="00BA1D00">
        <w:rPr>
          <w:szCs w:val="21"/>
        </w:rPr>
        <w:t>1.10.</w:t>
      </w:r>
      <w:r w:rsidRPr="00BA1D00">
        <w:rPr>
          <w:rFonts w:eastAsia="Arial" w:cs="Arial"/>
          <w:szCs w:val="21"/>
        </w:rPr>
        <w:t xml:space="preserve"> </w:t>
      </w:r>
      <w:r w:rsidRPr="00BA1D00">
        <w:rPr>
          <w:szCs w:val="21"/>
        </w:rPr>
        <w:t xml:space="preserve">Iconografia. </w:t>
      </w:r>
    </w:p>
    <w:p w14:paraId="18DE6142" w14:textId="77777777" w:rsidR="00312557" w:rsidRPr="00BA1D00" w:rsidRDefault="00312557" w:rsidP="0010599F">
      <w:pPr>
        <w:spacing w:after="240" w:line="240" w:lineRule="auto"/>
        <w:ind w:left="1070"/>
        <w:jc w:val="left"/>
        <w:rPr>
          <w:szCs w:val="21"/>
        </w:rPr>
      </w:pPr>
      <w:r w:rsidRPr="00BA1D00">
        <w:rPr>
          <w:szCs w:val="21"/>
        </w:rPr>
        <w:t xml:space="preserve"> </w:t>
      </w:r>
    </w:p>
    <w:p w14:paraId="5F436FC4" w14:textId="790907C8" w:rsidR="00312557" w:rsidRPr="00BA1D00" w:rsidRDefault="00312557" w:rsidP="00B925F1">
      <w:pPr>
        <w:pStyle w:val="Ttulo3"/>
      </w:pPr>
      <w:r w:rsidRPr="00BA1D00">
        <w:t xml:space="preserve">(ii)- OBJETIVOS DE DESEMPENHO </w:t>
      </w:r>
    </w:p>
    <w:p w14:paraId="244BBD6F" w14:textId="285A2210" w:rsidR="00312557" w:rsidRPr="00BA1D00" w:rsidRDefault="00312557" w:rsidP="00B925F1">
      <w:pPr>
        <w:widowControl/>
        <w:numPr>
          <w:ilvl w:val="0"/>
          <w:numId w:val="29"/>
        </w:numPr>
        <w:autoSpaceDE/>
        <w:autoSpaceDN/>
        <w:ind w:hanging="420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Oftalmologia Pediátrica:  </w:t>
      </w:r>
    </w:p>
    <w:p w14:paraId="08AF2026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avaliar a função visual da criança adaptando o exame à idade e ao seu desenvolvimento cognitivo. </w:t>
      </w:r>
    </w:p>
    <w:p w14:paraId="4170F698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realizar um exame refrativo objetivo por retinoscopia com e sem cicloplegia na criança. </w:t>
      </w:r>
    </w:p>
    <w:p w14:paraId="25B1062E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para decidir uma prescrição refrativa com base na refração e noutros parâmetros valorizáveis da avaliação clínica integral. </w:t>
      </w:r>
    </w:p>
    <w:p w14:paraId="1346C7D7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integrar as competências da função visual com o processo de aprendizagem. </w:t>
      </w:r>
    </w:p>
    <w:p w14:paraId="1D6D2E44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caracterizar uma ambliopia. </w:t>
      </w:r>
    </w:p>
    <w:p w14:paraId="0094B229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causas de ambliopia e prescrever tratamento personalizado.  </w:t>
      </w:r>
    </w:p>
    <w:p w14:paraId="63837EFF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reconhecer as patologias genéticas e sindrómicas com manifestações oculares. </w:t>
      </w:r>
    </w:p>
    <w:p w14:paraId="46ABEE01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reconhecer e diagnosticar as manifestações oculares de patologias sistémicas na infância, nomeadamente das doenças metabólicas mais prevalentes.  </w:t>
      </w:r>
    </w:p>
    <w:p w14:paraId="4CD67AD9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lastRenderedPageBreak/>
        <w:t xml:space="preserve">Capacidade de avaliar as alterações visuais do prematuro; capacidade de diagnosticar, estadiar e tratar ou referenciar em tempo útil a retinopatia da prematuridade para tratamento. </w:t>
      </w:r>
    </w:p>
    <w:p w14:paraId="5B33B28B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palpebral na infância. </w:t>
      </w:r>
    </w:p>
    <w:p w14:paraId="695564EC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das vias lacrimais e anexos oculares na criança. </w:t>
      </w:r>
    </w:p>
    <w:p w14:paraId="0C0D9731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ou referenciar patologia orbitária na infância. </w:t>
      </w:r>
    </w:p>
    <w:p w14:paraId="006DE408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da superfície ocular na infância. </w:t>
      </w:r>
    </w:p>
    <w:p w14:paraId="12D1C759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do segmento anterior na infância; capacidade de avaliar o impacto da catarata na função visual; capacidade de tratar ou referenciar a catarata para tratamento em tempo útil. </w:t>
      </w:r>
    </w:p>
    <w:p w14:paraId="14D95CE7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patologia da retina e do vítreo na infância; capacidade de tratar ou referenciar para tratamento em tempo útil. </w:t>
      </w:r>
    </w:p>
    <w:p w14:paraId="71CDD867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inflamatórias do globo ocular. </w:t>
      </w:r>
    </w:p>
    <w:p w14:paraId="00F3DEBF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um glaucoma pediátrico; capacidade de tratar ou referenciar em tempo útil. </w:t>
      </w:r>
    </w:p>
    <w:p w14:paraId="26B4EFB9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neuroftalmologia pediátrica. </w:t>
      </w:r>
    </w:p>
    <w:p w14:paraId="065D57BD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tratar patologia traumática ocular. Capacidade para avaliar o impacto oftalmológico dos traumatismos crânio-encefálicos.  </w:t>
      </w:r>
    </w:p>
    <w:p w14:paraId="45FBB03C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investigar, diagnosticar e caracterizar os tumores oculares pediátricos. Capacidade de referenciar em tempo útil para o centro de referência nacional. </w:t>
      </w:r>
    </w:p>
    <w:p w14:paraId="63A4C353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reconhecer e prescrever ou realizar técnicas de estimulação e ajuda visual nas crianças com baixa visão. </w:t>
      </w:r>
    </w:p>
    <w:p w14:paraId="42E6415C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identificar e prescrever técnicas de imagiologia em oftalmologia pediátrica. </w:t>
      </w:r>
    </w:p>
    <w:p w14:paraId="0A9663A2" w14:textId="77777777" w:rsidR="0010599F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prescrever e interpretar a avaliação multimodal em oftalmologia pediátrica. </w:t>
      </w:r>
    </w:p>
    <w:p w14:paraId="6D34AB11" w14:textId="11ABE5AA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prescrever e interpretar a avaliação eletrofisiológica da função visual em casos pediátricos. </w:t>
      </w:r>
    </w:p>
    <w:p w14:paraId="63D7EFBC" w14:textId="77777777" w:rsidR="00312557" w:rsidRPr="00BA1D00" w:rsidRDefault="00312557" w:rsidP="00B925F1">
      <w:pPr>
        <w:widowControl/>
        <w:numPr>
          <w:ilvl w:val="0"/>
          <w:numId w:val="29"/>
        </w:numPr>
        <w:autoSpaceDE/>
        <w:autoSpaceDN/>
        <w:ind w:hanging="420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Estrabismo: </w:t>
      </w:r>
      <w:r w:rsidRPr="00BA1D00">
        <w:rPr>
          <w:szCs w:val="21"/>
        </w:rPr>
        <w:t xml:space="preserve"> </w:t>
      </w:r>
    </w:p>
    <w:p w14:paraId="32731306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avaliar e diagnosticar os vários tipos de estrabismo. </w:t>
      </w:r>
    </w:p>
    <w:p w14:paraId="03AD9CD5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avaliar e caracterizar os movimentos oculares simples e complexos. </w:t>
      </w:r>
    </w:p>
    <w:p w14:paraId="36664E14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realizar o estudo motor ocular numa criança ou num adulto. </w:t>
      </w:r>
    </w:p>
    <w:p w14:paraId="0DCE1FAC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lastRenderedPageBreak/>
        <w:t xml:space="preserve">Capacidade de identificar os vários tipos de alterações dos movimentos oculares. </w:t>
      </w:r>
    </w:p>
    <w:p w14:paraId="37A1CB1F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realizar e interpretar manobras e testes de diagnóstico de avaliação motora ocular. </w:t>
      </w:r>
    </w:p>
    <w:p w14:paraId="54FA4298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interpretar os exames de avaliação motora ocular. </w:t>
      </w:r>
    </w:p>
    <w:p w14:paraId="1FD9B55C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caracterizar alterações sensoriais. </w:t>
      </w:r>
    </w:p>
    <w:p w14:paraId="7E0F52B9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realizar e interpretar os testes de diagnóstico de avaliação sensorial. </w:t>
      </w:r>
    </w:p>
    <w:p w14:paraId="2CE58E47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estudar a correspondência retiniana. </w:t>
      </w:r>
    </w:p>
    <w:p w14:paraId="7D8FF210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interpretar os exames de avaliação sensorial. </w:t>
      </w:r>
    </w:p>
    <w:p w14:paraId="16463977" w14:textId="77777777" w:rsidR="00312557" w:rsidRPr="00BA1D00" w:rsidRDefault="00312557" w:rsidP="00B925F1">
      <w:pPr>
        <w:widowControl/>
        <w:numPr>
          <w:ilvl w:val="2"/>
          <w:numId w:val="29"/>
        </w:numPr>
        <w:autoSpaceDE/>
        <w:autoSpaceDN/>
        <w:ind w:hanging="720"/>
        <w:rPr>
          <w:szCs w:val="21"/>
        </w:rPr>
      </w:pPr>
      <w:r w:rsidRPr="00BA1D00">
        <w:rPr>
          <w:szCs w:val="21"/>
        </w:rPr>
        <w:t xml:space="preserve">Capacidade de estudar, e caracterizar uma diplopia; capacidade de formular um diagnóstico etiológico de correspondência motora perante um doente com diplopia. </w:t>
      </w:r>
    </w:p>
    <w:p w14:paraId="1F17420E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diagnosticar e caracterizar os vários tipos de nistagmo. </w:t>
      </w:r>
    </w:p>
    <w:p w14:paraId="5A4DD2EC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usar e prescrever técnicas de imagiologia na avaliação do estrabismo. </w:t>
      </w:r>
    </w:p>
    <w:p w14:paraId="76A19EA4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realizar tratamento ótico, incluindo prismas, e tratamento farmacológico em casos de estrabismo. </w:t>
      </w:r>
    </w:p>
    <w:p w14:paraId="315003E6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decidir e realizar planos operatórios em caso de estrabismo com indicação cirurgia. </w:t>
      </w:r>
    </w:p>
    <w:p w14:paraId="65B24DDE" w14:textId="77777777" w:rsidR="00312557" w:rsidRPr="00BA1D00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realizar as múltiplas técnicas de cirurgia de estrabismo, nomeadamente técnicas de retroinserção, resseção, miopexia, e algumas técnicas especiais. </w:t>
      </w:r>
    </w:p>
    <w:p w14:paraId="6BF045CB" w14:textId="7110E31D" w:rsidR="00312557" w:rsidRDefault="00312557" w:rsidP="00B925F1">
      <w:pPr>
        <w:widowControl/>
        <w:numPr>
          <w:ilvl w:val="1"/>
          <w:numId w:val="29"/>
        </w:numPr>
        <w:autoSpaceDE/>
        <w:autoSpaceDN/>
        <w:ind w:hanging="569"/>
        <w:rPr>
          <w:szCs w:val="21"/>
        </w:rPr>
      </w:pPr>
      <w:r w:rsidRPr="00BA1D00">
        <w:rPr>
          <w:szCs w:val="21"/>
        </w:rPr>
        <w:t xml:space="preserve">Capacidade de tratar médica e cirurgicamente o nistagmo. </w:t>
      </w:r>
    </w:p>
    <w:p w14:paraId="37420FCD" w14:textId="77777777" w:rsidR="00B925F1" w:rsidRPr="00B925F1" w:rsidRDefault="00B925F1" w:rsidP="00B925F1">
      <w:pPr>
        <w:widowControl/>
        <w:autoSpaceDE/>
        <w:autoSpaceDN/>
        <w:rPr>
          <w:szCs w:val="21"/>
        </w:rPr>
      </w:pPr>
    </w:p>
    <w:p w14:paraId="7BB25B87" w14:textId="77777777" w:rsidR="00312557" w:rsidRPr="00BA1D00" w:rsidRDefault="00312557" w:rsidP="00B925F1">
      <w:pPr>
        <w:pStyle w:val="Ttulo3"/>
      </w:pPr>
      <w:r w:rsidRPr="00BA1D00">
        <w:t xml:space="preserve">PROCESSO DE AVALIAÇÃO. AVALIAÇÃO CONTÍNUA E AVALIAÇÃO FINAL </w:t>
      </w:r>
    </w:p>
    <w:p w14:paraId="14DB7361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>A formação de Subespecialistas é da responsabilidade do diretor/coordenador das unidades de oftalmologia pediátrica e estrabismo com idoneidade formativa atribuída pela comissão instaladora e/ou pela respetiva Secção depois de aprovado, no âmbito das competências da OM</w:t>
      </w:r>
      <w:r w:rsidRPr="00BA1D00">
        <w:rPr>
          <w:rFonts w:eastAsia="Calibri" w:cs="Calibri"/>
          <w:b/>
          <w:szCs w:val="21"/>
        </w:rPr>
        <w:t xml:space="preserve">. </w:t>
      </w:r>
    </w:p>
    <w:p w14:paraId="2366DF9A" w14:textId="368B028F" w:rsidR="0010599F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Podem ser formadores todos os médicos dos serviços ou unidades idóneas que possuam a Subespecialidade de </w:t>
      </w:r>
      <w:r w:rsidRPr="00BA1D00">
        <w:rPr>
          <w:rFonts w:eastAsia="Calibri" w:cs="Calibri"/>
          <w:b/>
          <w:szCs w:val="21"/>
        </w:rPr>
        <w:t>Oftalmologia Pediátrica e Estrabismo.</w:t>
      </w:r>
      <w:r w:rsidRPr="00BA1D00">
        <w:rPr>
          <w:szCs w:val="21"/>
        </w:rPr>
        <w:t xml:space="preserve">  </w:t>
      </w:r>
    </w:p>
    <w:p w14:paraId="7E31FAC7" w14:textId="77777777" w:rsidR="00B925F1" w:rsidRDefault="00B925F1" w:rsidP="00B925F1">
      <w:pPr>
        <w:snapToGrid w:val="0"/>
        <w:spacing w:after="120"/>
        <w:rPr>
          <w:rFonts w:eastAsia="Calibri" w:cs="Calibri"/>
          <w:b/>
          <w:szCs w:val="21"/>
        </w:rPr>
      </w:pPr>
    </w:p>
    <w:p w14:paraId="7D4AAD44" w14:textId="0DEDFDE5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Os cursos de formação devem obedecer aos seguintes critérios de avaliação: </w:t>
      </w:r>
    </w:p>
    <w:p w14:paraId="34E6015D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>A avaliação dos formandos será realizada de forma contínua ao longo dos respetivos estágios. Para esse efeito os formandos deverão ter um caderno curricular preferencialmente digital (</w:t>
      </w:r>
      <w:r w:rsidRPr="00BA1D00">
        <w:rPr>
          <w:rFonts w:eastAsia="Calibri" w:cs="Calibri"/>
          <w:i/>
          <w:szCs w:val="21"/>
        </w:rPr>
        <w:t>logbook</w:t>
      </w:r>
      <w:r w:rsidRPr="00BA1D00">
        <w:rPr>
          <w:szCs w:val="21"/>
        </w:rPr>
        <w:t xml:space="preserve">) com o registo de toda a atividade médica, cirúrgica e científica:  </w:t>
      </w:r>
    </w:p>
    <w:p w14:paraId="76CF29C5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O registo deve conter informação sobre: (i) frequência dos estágios e as patologias observadas e tratadas no âmbito dos objetivos de formação teórico-prática e de </w:t>
      </w:r>
      <w:r w:rsidRPr="00BA1D00">
        <w:rPr>
          <w:szCs w:val="21"/>
        </w:rPr>
        <w:lastRenderedPageBreak/>
        <w:t xml:space="preserve">desempenho; (ii) observação,  participação e a realização de manobras terapêuticas e atos cirúrgicos, no âmbito da exigência do programa formativo, e (iii) atividade científica, nomeadamente, apresentações públicas, aulas, participação em fóruns de discussão clínica, publicações, atividades de docência, atividade de investigação clínica e/ou laboratorial, e participação em congressos e reuniões científicas relacionadas com a área específica do conhecimento. </w:t>
      </w:r>
    </w:p>
    <w:p w14:paraId="16EB5FE9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Os dois estágios de Oftalmologia Pediátrica e de Estrabismo serão objeto de relatório próprio e de classificação pelos médicos formadores, no mínimo de dois. A classificação atribuída a cada relatório será a média aritmética da classificação atribuída pelos formadores.  </w:t>
      </w:r>
    </w:p>
    <w:p w14:paraId="5ECB253D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A </w:t>
      </w:r>
      <w:r w:rsidRPr="00BA1D00">
        <w:rPr>
          <w:rFonts w:eastAsia="Calibri" w:cs="Calibri"/>
          <w:b/>
          <w:szCs w:val="21"/>
        </w:rPr>
        <w:t>classificação final da frequência do curso de formação</w:t>
      </w:r>
      <w:r w:rsidRPr="00BA1D00">
        <w:rPr>
          <w:szCs w:val="21"/>
        </w:rPr>
        <w:t xml:space="preserve"> será a média ponderada dos dois estágios, segundo a fórmula:  </w:t>
      </w:r>
    </w:p>
    <w:p w14:paraId="32608CD2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rFonts w:eastAsia="Calibri" w:cs="Calibri"/>
          <w:b/>
          <w:szCs w:val="21"/>
        </w:rPr>
        <w:t>cf = nota oftalmologia pediátrica</w:t>
      </w:r>
      <w:r w:rsidRPr="00BA1D00">
        <w:rPr>
          <w:szCs w:val="21"/>
        </w:rPr>
        <w:t xml:space="preserve"> </w:t>
      </w:r>
      <w:r w:rsidRPr="00BA1D00">
        <w:rPr>
          <w:rFonts w:eastAsia="Calibri" w:cs="Calibri"/>
          <w:b/>
          <w:szCs w:val="21"/>
        </w:rPr>
        <w:t>60% + nota de estrabismo 40%</w:t>
      </w:r>
      <w:r w:rsidRPr="00BA1D00">
        <w:rPr>
          <w:szCs w:val="21"/>
        </w:rPr>
        <w:t xml:space="preserve">.  </w:t>
      </w:r>
    </w:p>
    <w:p w14:paraId="3D073133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A </w:t>
      </w:r>
      <w:r w:rsidRPr="00BA1D00">
        <w:rPr>
          <w:rFonts w:eastAsia="Calibri" w:cs="Calibri"/>
          <w:b/>
          <w:szCs w:val="21"/>
        </w:rPr>
        <w:t>classificação final dos estágios (cf)</w:t>
      </w:r>
      <w:r w:rsidRPr="00BA1D00">
        <w:rPr>
          <w:szCs w:val="21"/>
        </w:rPr>
        <w:t xml:space="preserve"> terá uma ponderação de 50% na classificação da prova de discussão curricular no exame nacional.  </w:t>
      </w:r>
    </w:p>
    <w:p w14:paraId="57F7545B" w14:textId="3C9CEAF1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Para obter o título de subespecialistas, os formandos deverão realizar provas de avaliação final, perante um júri constituído por 3 membros do corpo docente. </w:t>
      </w:r>
    </w:p>
    <w:p w14:paraId="466C174D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A provas de avaliação final constam de (i) prova de discussão curricular (ii) prova prática; (iii) prova teórica. As provas são realizadas de forma sequencial e são eliminatórias. </w:t>
      </w:r>
    </w:p>
    <w:p w14:paraId="3BC6C28F" w14:textId="77777777" w:rsidR="00312557" w:rsidRPr="00BA1D00" w:rsidRDefault="00312557" w:rsidP="00B925F1">
      <w:pPr>
        <w:snapToGrid w:val="0"/>
        <w:spacing w:after="120"/>
        <w:rPr>
          <w:szCs w:val="21"/>
        </w:rPr>
      </w:pPr>
      <w:r w:rsidRPr="00BA1D00">
        <w:rPr>
          <w:szCs w:val="21"/>
        </w:rPr>
        <w:t xml:space="preserve">As classificações parciais terão por base os critérios definidos nas grelhas 1, 2 e 3 em anexo (Anexo III) ao presente documento. </w:t>
      </w:r>
    </w:p>
    <w:p w14:paraId="2454C970" w14:textId="77777777" w:rsidR="00312557" w:rsidRPr="00BA1D00" w:rsidRDefault="00312557" w:rsidP="0010599F">
      <w:pPr>
        <w:autoSpaceDE/>
        <w:autoSpaceDN/>
        <w:spacing w:after="240" w:line="240" w:lineRule="auto"/>
        <w:jc w:val="left"/>
        <w:rPr>
          <w:rFonts w:eastAsia="Calibri" w:cs="Calibri"/>
          <w:b/>
          <w:szCs w:val="21"/>
        </w:rPr>
      </w:pPr>
      <w:r w:rsidRPr="00BA1D00">
        <w:rPr>
          <w:rFonts w:eastAsia="Calibri" w:cs="Calibri"/>
          <w:b/>
          <w:szCs w:val="21"/>
        </w:rPr>
        <w:br w:type="page"/>
      </w:r>
    </w:p>
    <w:p w14:paraId="751985E4" w14:textId="21565FDC" w:rsidR="00BA1D00" w:rsidRPr="00BA1D00" w:rsidRDefault="00312557" w:rsidP="00BA1D00">
      <w:pPr>
        <w:pStyle w:val="Ttulo1"/>
      </w:pPr>
      <w:r w:rsidRPr="00BA1D00">
        <w:lastRenderedPageBreak/>
        <w:t>ANEXO</w:t>
      </w:r>
    </w:p>
    <w:p w14:paraId="56B75FBB" w14:textId="7D42573C" w:rsidR="00312557" w:rsidRPr="00BA1D00" w:rsidRDefault="00312557" w:rsidP="00BA1D00">
      <w:pPr>
        <w:pStyle w:val="Ttulo2"/>
      </w:pPr>
      <w:r w:rsidRPr="00BA1D00">
        <w:t xml:space="preserve">Avaliação Final da Subespecialidade de Oftalmologia Pediátrica e Estrabismo  </w:t>
      </w:r>
    </w:p>
    <w:p w14:paraId="6337104C" w14:textId="77777777" w:rsidR="00BA1D00" w:rsidRPr="00BA1D00" w:rsidRDefault="00BA1D00" w:rsidP="00BA1D00">
      <w:pPr>
        <w:rPr>
          <w:lang w:eastAsia="en-US"/>
        </w:rPr>
      </w:pPr>
    </w:p>
    <w:p w14:paraId="343D4BCB" w14:textId="7DA86DFE" w:rsidR="00312557" w:rsidRDefault="00312557" w:rsidP="00BA1D00">
      <w:pPr>
        <w:rPr>
          <w:szCs w:val="21"/>
        </w:rPr>
      </w:pPr>
      <w:r w:rsidRPr="00BA1D00">
        <w:rPr>
          <w:szCs w:val="21"/>
        </w:rPr>
        <w:t xml:space="preserve">A avaliação final consta de três provas públicas e eliminatórias: discussão curricular, prova prática e prova teórica (prova oral ou prova teórica escrita). A classificação da avaliação final resulta da média aritmética simples das classificações obtidas na prova curricular, prática e teórica, arredondada às centésimas. Na nota de avaliação final da prova de discussão curricular, a média ponderada da classificação obtida durante os estágios dos programas da formação especializada, tem um peso de 50%. </w:t>
      </w:r>
    </w:p>
    <w:p w14:paraId="4435D516" w14:textId="77777777" w:rsidR="00BA1D00" w:rsidRPr="00BA1D00" w:rsidRDefault="00BA1D00" w:rsidP="00BA1D00">
      <w:pPr>
        <w:rPr>
          <w:szCs w:val="21"/>
        </w:rPr>
      </w:pPr>
    </w:p>
    <w:p w14:paraId="37A36220" w14:textId="7A90B122" w:rsidR="00312557" w:rsidRPr="00BA1D00" w:rsidRDefault="00312557" w:rsidP="00BA1D00">
      <w:pPr>
        <w:jc w:val="left"/>
        <w:rPr>
          <w:szCs w:val="21"/>
        </w:rPr>
      </w:pPr>
      <w:r w:rsidRPr="00BA1D00">
        <w:rPr>
          <w:rFonts w:eastAsia="Calibri" w:cs="Calibri"/>
          <w:b/>
          <w:szCs w:val="21"/>
        </w:rPr>
        <w:t>Parâmetros a avaliar na Prova de Discussão Curricular</w:t>
      </w:r>
      <w:r w:rsidRPr="00BA1D00">
        <w:rPr>
          <w:szCs w:val="21"/>
        </w:rPr>
        <w:t xml:space="preserve">: </w:t>
      </w:r>
    </w:p>
    <w:p w14:paraId="11F8386D" w14:textId="77777777" w:rsidR="00312557" w:rsidRPr="00BA1D00" w:rsidRDefault="00312557" w:rsidP="00BA1D00">
      <w:pPr>
        <w:widowControl/>
        <w:numPr>
          <w:ilvl w:val="0"/>
          <w:numId w:val="31"/>
        </w:numPr>
        <w:autoSpaceDE/>
        <w:autoSpaceDN/>
        <w:ind w:hanging="420"/>
        <w:rPr>
          <w:szCs w:val="21"/>
        </w:rPr>
      </w:pPr>
      <w:r w:rsidRPr="00BA1D00">
        <w:rPr>
          <w:szCs w:val="21"/>
        </w:rPr>
        <w:t xml:space="preserve">Avaliação da frequência e do cumprimento dos objetivos teóricos e práticos constantes do programa de formação. </w:t>
      </w:r>
    </w:p>
    <w:p w14:paraId="7A99560E" w14:textId="77777777" w:rsidR="00312557" w:rsidRPr="00BA1D00" w:rsidRDefault="00312557" w:rsidP="00BA1D00">
      <w:pPr>
        <w:widowControl/>
        <w:numPr>
          <w:ilvl w:val="0"/>
          <w:numId w:val="31"/>
        </w:numPr>
        <w:autoSpaceDE/>
        <w:autoSpaceDN/>
        <w:ind w:hanging="420"/>
        <w:rPr>
          <w:szCs w:val="21"/>
        </w:rPr>
      </w:pPr>
      <w:r w:rsidRPr="00BA1D00">
        <w:rPr>
          <w:szCs w:val="21"/>
        </w:rPr>
        <w:t xml:space="preserve">Descrição e análise da evolução da aquisição das competências (objetivos de desempenho) ao longo do curso de formação, com incidência sobre os registos de avaliação contínua.  </w:t>
      </w:r>
    </w:p>
    <w:p w14:paraId="67875A95" w14:textId="77777777" w:rsidR="00312557" w:rsidRPr="00BA1D00" w:rsidRDefault="00312557" w:rsidP="00BA1D00">
      <w:pPr>
        <w:widowControl/>
        <w:numPr>
          <w:ilvl w:val="0"/>
          <w:numId w:val="31"/>
        </w:numPr>
        <w:autoSpaceDE/>
        <w:autoSpaceDN/>
        <w:ind w:hanging="420"/>
        <w:rPr>
          <w:szCs w:val="21"/>
        </w:rPr>
      </w:pPr>
      <w:r w:rsidRPr="00BA1D00">
        <w:rPr>
          <w:szCs w:val="21"/>
        </w:rPr>
        <w:t xml:space="preserve">Descrição e análise do contributo do trabalho do formando para o funcionamento da unidade </w:t>
      </w:r>
    </w:p>
    <w:p w14:paraId="4EAAFDF0" w14:textId="77777777" w:rsidR="00312557" w:rsidRPr="00BA1D00" w:rsidRDefault="00312557" w:rsidP="00BA1D00">
      <w:pPr>
        <w:widowControl/>
        <w:numPr>
          <w:ilvl w:val="0"/>
          <w:numId w:val="32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Frequência de estágios e/ou formações cujo conteúdo esteja inserido no programa de formação da subespecialidade. </w:t>
      </w:r>
    </w:p>
    <w:p w14:paraId="10DCCB0A" w14:textId="77777777" w:rsidR="00312557" w:rsidRPr="00BA1D00" w:rsidRDefault="00312557" w:rsidP="00BA1D00">
      <w:pPr>
        <w:widowControl/>
        <w:numPr>
          <w:ilvl w:val="0"/>
          <w:numId w:val="32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Publicação ou apresentação pública de trabalhos no âmbito da subespecialidade </w:t>
      </w:r>
    </w:p>
    <w:p w14:paraId="0165F2DD" w14:textId="77777777" w:rsidR="00312557" w:rsidRPr="00BA1D00" w:rsidRDefault="00312557" w:rsidP="00BA1D00">
      <w:pPr>
        <w:widowControl/>
        <w:numPr>
          <w:ilvl w:val="0"/>
          <w:numId w:val="32"/>
        </w:numPr>
        <w:autoSpaceDE/>
        <w:autoSpaceDN/>
        <w:ind w:hanging="425"/>
        <w:rPr>
          <w:szCs w:val="21"/>
        </w:rPr>
      </w:pPr>
      <w:r w:rsidRPr="00BA1D00">
        <w:rPr>
          <w:szCs w:val="21"/>
        </w:rPr>
        <w:t xml:space="preserve">Participação, dentro da especialidade, na formação de outros profissionais. </w:t>
      </w:r>
    </w:p>
    <w:p w14:paraId="3F22AC8D" w14:textId="77777777" w:rsidR="00312557" w:rsidRPr="00BA1D00" w:rsidRDefault="00312557" w:rsidP="00BA1D00">
      <w:pPr>
        <w:ind w:left="427"/>
        <w:jc w:val="left"/>
        <w:rPr>
          <w:szCs w:val="21"/>
        </w:rPr>
      </w:pPr>
      <w:r w:rsidRPr="00BA1D00">
        <w:rPr>
          <w:szCs w:val="21"/>
        </w:rPr>
        <w:t xml:space="preserve"> </w:t>
      </w:r>
    </w:p>
    <w:p w14:paraId="304273C4" w14:textId="77777777" w:rsidR="00312557" w:rsidRPr="00BA1D00" w:rsidRDefault="00312557" w:rsidP="00BA1D00">
      <w:pPr>
        <w:rPr>
          <w:szCs w:val="21"/>
        </w:rPr>
      </w:pPr>
      <w:r w:rsidRPr="00BA1D00">
        <w:rPr>
          <w:rFonts w:eastAsia="Calibri" w:cs="Calibri"/>
          <w:b/>
          <w:szCs w:val="21"/>
        </w:rPr>
        <w:t>Parâmetros a avaliar na Prova Prática</w:t>
      </w:r>
      <w:r w:rsidRPr="00BA1D00">
        <w:rPr>
          <w:szCs w:val="21"/>
        </w:rPr>
        <w:t xml:space="preserve">: </w:t>
      </w:r>
    </w:p>
    <w:p w14:paraId="006003A5" w14:textId="77777777" w:rsidR="00312557" w:rsidRPr="00BA1D00" w:rsidRDefault="00312557" w:rsidP="00BA1D00">
      <w:pPr>
        <w:widowControl/>
        <w:numPr>
          <w:ilvl w:val="0"/>
          <w:numId w:val="33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Metodologia de observação do doente. </w:t>
      </w:r>
    </w:p>
    <w:p w14:paraId="7E787175" w14:textId="77777777" w:rsidR="00312557" w:rsidRPr="00BA1D00" w:rsidRDefault="00312557" w:rsidP="00BA1D00">
      <w:pPr>
        <w:widowControl/>
        <w:numPr>
          <w:ilvl w:val="0"/>
          <w:numId w:val="33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Integração de conhecimentos expressa na qualidade da anamnese, na elaboração da história clínica, na observação e na discussão de diagnósticos diferenciais. </w:t>
      </w:r>
    </w:p>
    <w:p w14:paraId="6DA58F43" w14:textId="77777777" w:rsidR="00312557" w:rsidRPr="00BA1D00" w:rsidRDefault="00312557" w:rsidP="00BA1D00">
      <w:pPr>
        <w:widowControl/>
        <w:numPr>
          <w:ilvl w:val="0"/>
          <w:numId w:val="33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Exames complementares solicitados e sua justificação. </w:t>
      </w:r>
    </w:p>
    <w:p w14:paraId="0375EBDD" w14:textId="77777777" w:rsidR="00312557" w:rsidRPr="00BA1D00" w:rsidRDefault="00312557" w:rsidP="00BA1D00">
      <w:pPr>
        <w:widowControl/>
        <w:numPr>
          <w:ilvl w:val="0"/>
          <w:numId w:val="33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Relatório final como forma de expressão da integração de conhecimentos necessários ao diagnóstico, plano terapêutico, plano de seguimento e prognóstico. </w:t>
      </w:r>
    </w:p>
    <w:p w14:paraId="5DE62DC3" w14:textId="77777777" w:rsidR="00312557" w:rsidRPr="00BA1D00" w:rsidRDefault="00312557" w:rsidP="00BA1D00">
      <w:pPr>
        <w:widowControl/>
        <w:numPr>
          <w:ilvl w:val="0"/>
          <w:numId w:val="33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Discussão do caso clínico. </w:t>
      </w:r>
    </w:p>
    <w:p w14:paraId="62767FAF" w14:textId="77777777" w:rsidR="00312557" w:rsidRPr="00BA1D00" w:rsidRDefault="00312557" w:rsidP="00BA1D00">
      <w:pPr>
        <w:ind w:left="1135"/>
        <w:jc w:val="left"/>
        <w:rPr>
          <w:szCs w:val="21"/>
        </w:rPr>
      </w:pPr>
      <w:r w:rsidRPr="00BA1D00">
        <w:rPr>
          <w:szCs w:val="21"/>
        </w:rPr>
        <w:t xml:space="preserve"> </w:t>
      </w:r>
    </w:p>
    <w:p w14:paraId="770D415A" w14:textId="77777777" w:rsidR="00312557" w:rsidRPr="00BA1D00" w:rsidRDefault="00312557" w:rsidP="00BA1D00">
      <w:pPr>
        <w:rPr>
          <w:szCs w:val="21"/>
        </w:rPr>
      </w:pPr>
      <w:r w:rsidRPr="00BA1D00">
        <w:rPr>
          <w:rFonts w:eastAsia="Calibri" w:cs="Calibri"/>
          <w:b/>
          <w:szCs w:val="21"/>
        </w:rPr>
        <w:t>Parâmetros a avaliar na Prova Teórica (Oral)</w:t>
      </w:r>
      <w:r w:rsidRPr="00BA1D00">
        <w:rPr>
          <w:szCs w:val="21"/>
        </w:rPr>
        <w:t xml:space="preserve"> </w:t>
      </w:r>
    </w:p>
    <w:p w14:paraId="5290FF4C" w14:textId="77777777" w:rsidR="00312557" w:rsidRPr="00BA1D00" w:rsidRDefault="00312557" w:rsidP="00BA1D00">
      <w:pPr>
        <w:widowControl/>
        <w:numPr>
          <w:ilvl w:val="0"/>
          <w:numId w:val="34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Nível de conhecimentos nas várias áreas da patologia oftalmológica infantil. </w:t>
      </w:r>
    </w:p>
    <w:p w14:paraId="1F9EEC24" w14:textId="77777777" w:rsidR="00312557" w:rsidRPr="00BA1D00" w:rsidRDefault="00312557" w:rsidP="00BA1D00">
      <w:pPr>
        <w:widowControl/>
        <w:numPr>
          <w:ilvl w:val="0"/>
          <w:numId w:val="34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Nível de conhecimentos das técnicas de diagnóstico e terapêutica. </w:t>
      </w:r>
    </w:p>
    <w:p w14:paraId="41FA4BF3" w14:textId="77777777" w:rsidR="0010599F" w:rsidRPr="00BA1D00" w:rsidRDefault="00312557" w:rsidP="00BA1D00">
      <w:pPr>
        <w:widowControl/>
        <w:numPr>
          <w:ilvl w:val="0"/>
          <w:numId w:val="34"/>
        </w:numPr>
        <w:autoSpaceDE/>
        <w:autoSpaceDN/>
        <w:ind w:hanging="360"/>
        <w:rPr>
          <w:szCs w:val="21"/>
        </w:rPr>
      </w:pPr>
      <w:r w:rsidRPr="00BA1D00">
        <w:rPr>
          <w:szCs w:val="21"/>
        </w:rPr>
        <w:t xml:space="preserve">Capacidade de integração dos conhecimentos científicos e técnicos. </w:t>
      </w:r>
    </w:p>
    <w:p w14:paraId="0E32594E" w14:textId="77777777" w:rsidR="0010599F" w:rsidRPr="00BA1D00" w:rsidRDefault="0010599F" w:rsidP="00BA1D00">
      <w:pPr>
        <w:widowControl/>
        <w:autoSpaceDE/>
        <w:autoSpaceDN/>
        <w:rPr>
          <w:szCs w:val="21"/>
        </w:rPr>
      </w:pPr>
    </w:p>
    <w:p w14:paraId="2BB694E1" w14:textId="77777777" w:rsidR="00BA1D00" w:rsidRDefault="00BA1D00">
      <w:pPr>
        <w:autoSpaceDE/>
        <w:autoSpaceDN/>
        <w:spacing w:line="240" w:lineRule="auto"/>
        <w:jc w:val="left"/>
        <w:rPr>
          <w:rFonts w:eastAsia="Calibri" w:cs="Calibri"/>
          <w:b/>
          <w:szCs w:val="21"/>
        </w:rPr>
      </w:pPr>
      <w:r>
        <w:br w:type="page"/>
      </w:r>
    </w:p>
    <w:p w14:paraId="005CC4A0" w14:textId="2FAA1A10" w:rsidR="0010599F" w:rsidRPr="00BA1D00" w:rsidRDefault="00312557" w:rsidP="00BA1D00">
      <w:pPr>
        <w:pStyle w:val="Ttulo3"/>
      </w:pPr>
      <w:r w:rsidRPr="00BA1D00">
        <w:lastRenderedPageBreak/>
        <w:t xml:space="preserve">Grelha/matriz de avaliação da discussão curricular 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4"/>
        <w:gridCol w:w="3435"/>
        <w:gridCol w:w="3307"/>
        <w:gridCol w:w="1118"/>
      </w:tblGrid>
      <w:tr w:rsidR="00312557" w:rsidRPr="00BA1D00" w14:paraId="6E04F690" w14:textId="77777777" w:rsidTr="007B0840">
        <w:trPr>
          <w:trHeight w:val="71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5B85" w14:textId="43F4DFDE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Máxima</w:t>
            </w:r>
          </w:p>
        </w:tc>
        <w:tc>
          <w:tcPr>
            <w:tcW w:w="3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BD9B" w14:textId="243D1ECB" w:rsidR="00312557" w:rsidRPr="00BA1D00" w:rsidRDefault="00312557" w:rsidP="00BA1D00">
            <w:pPr>
              <w:ind w:right="109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Parâmetros a avaliar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B74E" w14:textId="57D30EBD" w:rsidR="00312557" w:rsidRPr="00BA1D00" w:rsidRDefault="00312557" w:rsidP="00BA1D00">
            <w:pPr>
              <w:ind w:left="33" w:right="93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Atribuída</w:t>
            </w:r>
          </w:p>
        </w:tc>
      </w:tr>
      <w:tr w:rsidR="00312557" w:rsidRPr="00BA1D00" w14:paraId="4D65005F" w14:textId="77777777" w:rsidTr="007B0840">
        <w:trPr>
          <w:trHeight w:val="98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F73DA3D" w14:textId="13FA6F6B" w:rsidR="00312557" w:rsidRPr="00BA1D00" w:rsidRDefault="00312557" w:rsidP="00BA1D00">
            <w:pPr>
              <w:ind w:right="11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10.0</w:t>
            </w:r>
          </w:p>
        </w:tc>
        <w:tc>
          <w:tcPr>
            <w:tcW w:w="4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</w:tcPr>
          <w:p w14:paraId="2A882D9A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Descrição e análise da evolução da formação ao longo do ciclo de estudos, atendendo a: </w:t>
            </w:r>
          </w:p>
          <w:p w14:paraId="454A45CF" w14:textId="77777777" w:rsidR="00312557" w:rsidRPr="00BA1D00" w:rsidRDefault="00312557" w:rsidP="00BA1D00">
            <w:pPr>
              <w:ind w:right="-44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Avaliação da frequência e do cumprimento dos objetivos teóricos e práticos do programa de formação; Descrição e análise da evolução da aquisição das competências ao longo do ciclo de estudos, com incidência so contínua. </w:t>
            </w:r>
          </w:p>
        </w:tc>
      </w:tr>
      <w:tr w:rsidR="00312557" w:rsidRPr="00BA1D00" w14:paraId="63A43589" w14:textId="77777777" w:rsidTr="007B0840">
        <w:trPr>
          <w:trHeight w:val="82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251D" w14:textId="09910EFA" w:rsidR="00312557" w:rsidRPr="00BA1D00" w:rsidRDefault="00312557" w:rsidP="00BA1D00">
            <w:pPr>
              <w:ind w:right="110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6.0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92E4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Avaliação global do Curriculum Vitae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07FF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Cumprimento do plano de Formação. </w:t>
            </w:r>
          </w:p>
          <w:p w14:paraId="0787B34F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Atividade médica. </w:t>
            </w:r>
          </w:p>
          <w:p w14:paraId="7BF67FDD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Atividade cirúrgica. 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3AE5" w14:textId="77777777" w:rsidR="00312557" w:rsidRPr="00BA1D00" w:rsidRDefault="00312557" w:rsidP="00BA1D00">
            <w:pPr>
              <w:ind w:right="57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1D6584A5" w14:textId="77777777" w:rsidTr="007B0840">
        <w:trPr>
          <w:trHeight w:val="742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BA83" w14:textId="1CF83BA7" w:rsidR="00312557" w:rsidRPr="00BA1D00" w:rsidRDefault="00312557" w:rsidP="00BA1D00">
            <w:pPr>
              <w:ind w:right="110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4.0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0316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Avaliação da discussão curricular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587A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Cumprimento do plano de Formação. </w:t>
            </w:r>
          </w:p>
          <w:p w14:paraId="5C243954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Atividade médica. </w:t>
            </w:r>
          </w:p>
          <w:p w14:paraId="74B832D7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Atividade cirúrgica. 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E73" w14:textId="77777777" w:rsidR="00312557" w:rsidRPr="00BA1D00" w:rsidRDefault="00312557" w:rsidP="00BA1D00">
            <w:pPr>
              <w:ind w:right="57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7B0840" w:rsidRPr="00BA1D00" w14:paraId="0EA689FF" w14:textId="77777777" w:rsidTr="007B0840">
        <w:tblPrEx>
          <w:tblCellMar>
            <w:right w:w="37" w:type="dxa"/>
          </w:tblCellMar>
        </w:tblPrEx>
        <w:trPr>
          <w:trHeight w:val="527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716B73C9" w14:textId="7A153D4C" w:rsidR="007B0840" w:rsidRPr="00BA1D00" w:rsidRDefault="007B0840" w:rsidP="00BA1D00">
            <w:pPr>
              <w:ind w:right="5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1.0</w:t>
            </w:r>
          </w:p>
        </w:tc>
        <w:tc>
          <w:tcPr>
            <w:tcW w:w="4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245E672" w14:textId="77777777" w:rsidR="007B0840" w:rsidRPr="00BA1D00" w:rsidRDefault="007B0840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Descrição e análise do contributo do trabalho do formando para o funcionamento da unidade</w:t>
            </w: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7B0840" w:rsidRPr="00BA1D00" w14:paraId="75D1DB8C" w14:textId="77777777" w:rsidTr="007B0840">
        <w:trPr>
          <w:trHeight w:val="742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03EC" w14:textId="1BDD7F54" w:rsidR="007B0840" w:rsidRPr="00BA1D00" w:rsidRDefault="007B0840" w:rsidP="00BA1D00">
            <w:pPr>
              <w:ind w:right="110"/>
              <w:jc w:val="center"/>
              <w:rPr>
                <w:sz w:val="18"/>
                <w:szCs w:val="18"/>
                <w:lang w:val="pt-PT"/>
              </w:rPr>
            </w:pPr>
            <w:r w:rsidRPr="00BA1D00">
              <w:rPr>
                <w:sz w:val="18"/>
                <w:szCs w:val="18"/>
              </w:rPr>
              <w:t>1.0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2AC2" w14:textId="6B9040AE" w:rsidR="007B0840" w:rsidRPr="00BA1D00" w:rsidRDefault="007B0840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Participação em tarefas organizativas e outras de interesse para a unidade.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CE5" w14:textId="77777777" w:rsidR="007B0840" w:rsidRPr="00BA1D00" w:rsidRDefault="007B0840" w:rsidP="00BA1D0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0D8F" w14:textId="77777777" w:rsidR="007B0840" w:rsidRPr="00BA1D00" w:rsidRDefault="007B0840" w:rsidP="00BA1D00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</w:tbl>
    <w:p w14:paraId="142EA37F" w14:textId="77777777" w:rsidR="007B0840" w:rsidRPr="00BA1D00" w:rsidRDefault="007B0840" w:rsidP="00BA1D00">
      <w:pPr>
        <w:autoSpaceDE/>
        <w:autoSpaceDN/>
        <w:jc w:val="left"/>
        <w:rPr>
          <w:szCs w:val="21"/>
        </w:rPr>
      </w:pPr>
      <w:r w:rsidRPr="00BA1D00">
        <w:rPr>
          <w:szCs w:val="21"/>
        </w:rPr>
        <w:br w:type="page"/>
      </w:r>
    </w:p>
    <w:p w14:paraId="6207F7F9" w14:textId="6AF8273C" w:rsidR="00312557" w:rsidRPr="00BA1D00" w:rsidRDefault="007B0840" w:rsidP="00BA1D00">
      <w:pPr>
        <w:widowControl/>
        <w:autoSpaceDE/>
        <w:autoSpaceDN/>
        <w:rPr>
          <w:szCs w:val="21"/>
        </w:rPr>
      </w:pPr>
      <w:r w:rsidRPr="00BA1D00">
        <w:rPr>
          <w:rFonts w:eastAsia="Calibri" w:cs="Calibri"/>
          <w:b/>
          <w:szCs w:val="21"/>
        </w:rPr>
        <w:lastRenderedPageBreak/>
        <w:t xml:space="preserve">Grelha/matriz de avaliação da discussão curricular </w:t>
      </w:r>
      <w:r w:rsidRPr="00BA1D00">
        <w:rPr>
          <w:szCs w:val="21"/>
        </w:rPr>
        <w:t xml:space="preserve"> (cont)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7"/>
        <w:gridCol w:w="3436"/>
        <w:gridCol w:w="3307"/>
        <w:gridCol w:w="6"/>
        <w:gridCol w:w="1108"/>
      </w:tblGrid>
      <w:tr w:rsidR="007B0840" w:rsidRPr="00BA1D00" w14:paraId="338125BE" w14:textId="77777777" w:rsidTr="007B0840">
        <w:trPr>
          <w:trHeight w:val="71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A862" w14:textId="797418FF" w:rsidR="007B0840" w:rsidRPr="00BA1D00" w:rsidRDefault="007B0840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Máxima</w:t>
            </w:r>
          </w:p>
        </w:tc>
        <w:tc>
          <w:tcPr>
            <w:tcW w:w="3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9C4E" w14:textId="75EFDE80" w:rsidR="007B0840" w:rsidRPr="00BA1D00" w:rsidRDefault="007B0840" w:rsidP="00BA1D00">
            <w:pPr>
              <w:ind w:right="109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Parâmetros a avaliar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3AF8" w14:textId="0E37DC0C" w:rsidR="007B0840" w:rsidRPr="00BA1D00" w:rsidRDefault="007B0840" w:rsidP="00BA1D00">
            <w:pPr>
              <w:ind w:left="33" w:right="93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Atribuída</w:t>
            </w:r>
          </w:p>
        </w:tc>
      </w:tr>
      <w:tr w:rsidR="00312557" w:rsidRPr="00BA1D00" w14:paraId="273C1312" w14:textId="77777777" w:rsidTr="007B0840">
        <w:tblPrEx>
          <w:tblCellMar>
            <w:right w:w="37" w:type="dxa"/>
          </w:tblCellMar>
        </w:tblPrEx>
        <w:trPr>
          <w:trHeight w:val="77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2D3188B2" w14:textId="1B6A7097" w:rsidR="00312557" w:rsidRPr="00BA1D00" w:rsidRDefault="00312557" w:rsidP="00BA1D00">
            <w:pPr>
              <w:ind w:right="5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2.0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6055D327" w14:textId="77777777" w:rsidR="00312557" w:rsidRPr="00BA1D00" w:rsidRDefault="00312557" w:rsidP="00BA1D00">
            <w:pPr>
              <w:ind w:left="173"/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Frequência de estágios e/ou formações cujo conteúdo esteja inserido no programa de formação da subespecialidade. </w:t>
            </w:r>
          </w:p>
          <w:p w14:paraId="57926BBD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12557" w:rsidRPr="00BA1D00" w14:paraId="60A8A981" w14:textId="77777777" w:rsidTr="007B0840">
        <w:tblPrEx>
          <w:tblCellMar>
            <w:right w:w="37" w:type="dxa"/>
          </w:tblCellMar>
        </w:tblPrEx>
        <w:trPr>
          <w:trHeight w:val="863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521C" w14:textId="5D6E17BC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994" w14:textId="0B5E83D9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Frequência de Reuniões Científicas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2A78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Internacionais:                        </w:t>
            </w:r>
          </w:p>
          <w:p w14:paraId="29BD000F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Nacionais:                               </w:t>
            </w:r>
          </w:p>
          <w:p w14:paraId="52B7F758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Total:          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823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783642BE" w14:textId="77777777" w:rsidTr="007B0840">
        <w:tblPrEx>
          <w:tblCellMar>
            <w:right w:w="37" w:type="dxa"/>
          </w:tblCellMar>
        </w:tblPrEx>
        <w:trPr>
          <w:trHeight w:val="95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9E31" w14:textId="6391810E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9FF5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Frequência de Cursos Teórico-Práticos e Cursos Práticos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51E6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Internacionais:                        </w:t>
            </w:r>
          </w:p>
          <w:p w14:paraId="24139A81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Nacionais:                               </w:t>
            </w:r>
          </w:p>
          <w:p w14:paraId="1F1B1851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Total:          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908C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71A47FA3" w14:textId="77777777" w:rsidTr="007B0840">
        <w:tblPrEx>
          <w:tblCellMar>
            <w:right w:w="37" w:type="dxa"/>
          </w:tblCellMar>
        </w:tblPrEx>
        <w:trPr>
          <w:trHeight w:val="103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64D7" w14:textId="6010D64B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8068" w14:textId="2D4A20E1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Ações formativas (Estágios no País ou no Estrangeiro / duração)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E308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No País: </w:t>
            </w:r>
          </w:p>
          <w:p w14:paraId="4C288E29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No Estrangeiro: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9615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79F964B1" w14:textId="77777777" w:rsidTr="007B0840">
        <w:tblPrEx>
          <w:tblCellMar>
            <w:right w:w="37" w:type="dxa"/>
          </w:tblCellMar>
        </w:tblPrEx>
        <w:trPr>
          <w:trHeight w:val="672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EC19284" w14:textId="00F9DDC8" w:rsidR="00312557" w:rsidRPr="00BA1D00" w:rsidRDefault="00312557" w:rsidP="00BA1D00">
            <w:pPr>
              <w:ind w:right="5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5.0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731EA6FE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Publicação ou apresentação pública de trabalhos com interesse clínico e científico relevante </w:t>
            </w:r>
          </w:p>
        </w:tc>
      </w:tr>
      <w:tr w:rsidR="00312557" w:rsidRPr="00BA1D00" w14:paraId="6E61B0FF" w14:textId="77777777" w:rsidTr="007B0840">
        <w:tblPrEx>
          <w:tblCellMar>
            <w:right w:w="37" w:type="dxa"/>
          </w:tblCellMar>
        </w:tblPrEx>
        <w:trPr>
          <w:trHeight w:val="1480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D541" w14:textId="0CBDEFAA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3B1" w14:textId="65385834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Apresentações em Reuniões Científicas Nacionais (Autor / Co-autor)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6F48" w14:textId="590B3CA4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                   Autor / Co-Autor </w:t>
            </w:r>
          </w:p>
          <w:p w14:paraId="70F9D68C" w14:textId="3D9CA5CC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Comunicações: </w:t>
            </w:r>
          </w:p>
          <w:p w14:paraId="3BA8BE4F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Posters:              </w:t>
            </w:r>
          </w:p>
          <w:p w14:paraId="46A893A4" w14:textId="77777777" w:rsidR="00836B3E" w:rsidRPr="00BA1D00" w:rsidRDefault="00312557" w:rsidP="00BA1D00">
            <w:pPr>
              <w:ind w:right="1537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Vídeos:          </w:t>
            </w:r>
          </w:p>
          <w:p w14:paraId="5399A381" w14:textId="54AB31F6" w:rsidR="00312557" w:rsidRPr="00BA1D00" w:rsidRDefault="00312557" w:rsidP="00BA1D00">
            <w:pPr>
              <w:ind w:right="1537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Fotos: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7EA7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5768EBEC" w14:textId="77777777" w:rsidTr="007B0840">
        <w:tblPrEx>
          <w:tblCellMar>
            <w:right w:w="37" w:type="dxa"/>
          </w:tblCellMar>
        </w:tblPrEx>
        <w:trPr>
          <w:trHeight w:val="155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08CB" w14:textId="6DA01477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547D" w14:textId="5A01569C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Apresentações em Reuniões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>Científicas Internacionais (Autor / Co-autor)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2A56" w14:textId="0DF2265B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                 Autor / Co-Autor </w:t>
            </w:r>
          </w:p>
          <w:p w14:paraId="338BE070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Comunicações:  </w:t>
            </w:r>
          </w:p>
          <w:p w14:paraId="182DEF33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Posters:              </w:t>
            </w:r>
          </w:p>
          <w:p w14:paraId="1E418C96" w14:textId="77777777" w:rsidR="00836B3E" w:rsidRPr="00BA1D00" w:rsidRDefault="00312557" w:rsidP="00BA1D00">
            <w:pPr>
              <w:ind w:right="1537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Vídeos:          </w:t>
            </w:r>
          </w:p>
          <w:p w14:paraId="353E2815" w14:textId="5E91E66B" w:rsidR="00312557" w:rsidRPr="00BA1D00" w:rsidRDefault="00312557" w:rsidP="00BA1D00">
            <w:pPr>
              <w:ind w:right="1537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Fotos: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7C15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052F02A0" w14:textId="77777777" w:rsidTr="007B0840">
        <w:tblPrEx>
          <w:tblCellMar>
            <w:right w:w="37" w:type="dxa"/>
          </w:tblCellMar>
        </w:tblPrEx>
        <w:trPr>
          <w:trHeight w:val="1522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A2B6" w14:textId="313DF80E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3.0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A5F0" w14:textId="72F4674A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Publicações no âmbito da Oftalmologia em Revistas Nacionais e Internacionais 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 xml:space="preserve">(Indexadas, não-indexadas, com Fator de Impacto e Nº de citações)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59F" w14:textId="442ABA35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                  Autor / Co-Autor </w:t>
            </w:r>
          </w:p>
          <w:p w14:paraId="7CBA5201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Indexadas: </w:t>
            </w:r>
          </w:p>
          <w:p w14:paraId="0C6A878C" w14:textId="611976CF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Não indexadas: </w:t>
            </w:r>
          </w:p>
          <w:p w14:paraId="6DDEC8FE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Em Plataformas digitais: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AEE3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473E5752" w14:textId="77777777" w:rsidTr="007B0840">
        <w:tblPrEx>
          <w:tblCellMar>
            <w:right w:w="37" w:type="dxa"/>
          </w:tblCellMar>
        </w:tblPrEx>
        <w:trPr>
          <w:trHeight w:val="113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6487" w14:textId="3161F2A6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75EC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Prémios Científicos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AC18" w14:textId="0CB78E77" w:rsidR="00836B3E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                   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>Autor/Co-Autor</w:t>
            </w:r>
          </w:p>
          <w:p w14:paraId="11E5A159" w14:textId="325DC5FE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Internacionais:                  </w:t>
            </w:r>
          </w:p>
          <w:p w14:paraId="316B992B" w14:textId="066B8F8D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Nacionais:                         </w:t>
            </w:r>
          </w:p>
          <w:p w14:paraId="07DFC531" w14:textId="19BBB3B8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Total: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F9D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</w:tbl>
    <w:p w14:paraId="1E0DA9CA" w14:textId="77777777" w:rsidR="007B0840" w:rsidRPr="00BA1D00" w:rsidRDefault="007B0840" w:rsidP="00BA1D00">
      <w:pPr>
        <w:autoSpaceDE/>
        <w:autoSpaceDN/>
        <w:jc w:val="left"/>
        <w:rPr>
          <w:szCs w:val="21"/>
        </w:rPr>
      </w:pPr>
      <w:r w:rsidRPr="00BA1D00">
        <w:rPr>
          <w:szCs w:val="21"/>
        </w:rPr>
        <w:br w:type="page"/>
      </w:r>
    </w:p>
    <w:p w14:paraId="53163EEF" w14:textId="77777777" w:rsidR="007B0840" w:rsidRPr="00BA1D00" w:rsidRDefault="007B0840" w:rsidP="00BA1D00">
      <w:pPr>
        <w:rPr>
          <w:szCs w:val="21"/>
        </w:rPr>
      </w:pPr>
    </w:p>
    <w:p w14:paraId="3259A32A" w14:textId="0D375A7D" w:rsidR="007B0840" w:rsidRPr="00BA1D00" w:rsidRDefault="007B0840" w:rsidP="00BA1D00">
      <w:pPr>
        <w:widowControl/>
        <w:autoSpaceDE/>
        <w:autoSpaceDN/>
        <w:rPr>
          <w:szCs w:val="21"/>
        </w:rPr>
      </w:pPr>
      <w:r w:rsidRPr="00BA1D00">
        <w:rPr>
          <w:rFonts w:eastAsia="Calibri" w:cs="Calibri"/>
          <w:b/>
          <w:szCs w:val="21"/>
        </w:rPr>
        <w:t xml:space="preserve">Grelha/matriz de avaliação da discussão curricular </w:t>
      </w:r>
      <w:r w:rsidRPr="00BA1D00">
        <w:rPr>
          <w:szCs w:val="21"/>
        </w:rPr>
        <w:t xml:space="preserve"> (cont)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7"/>
        <w:gridCol w:w="3436"/>
        <w:gridCol w:w="3307"/>
        <w:gridCol w:w="6"/>
        <w:gridCol w:w="1108"/>
      </w:tblGrid>
      <w:tr w:rsidR="007B0840" w:rsidRPr="00BA1D00" w14:paraId="0F4933FB" w14:textId="77777777" w:rsidTr="007B0840">
        <w:trPr>
          <w:trHeight w:val="71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8217" w14:textId="1E3F8826" w:rsidR="007B0840" w:rsidRPr="00BA1D00" w:rsidRDefault="007B0840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Máxima</w:t>
            </w:r>
          </w:p>
        </w:tc>
        <w:tc>
          <w:tcPr>
            <w:tcW w:w="3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8E70" w14:textId="0656EB08" w:rsidR="007B0840" w:rsidRPr="00BA1D00" w:rsidRDefault="007B0840" w:rsidP="00BA1D00">
            <w:pPr>
              <w:ind w:right="109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Parâmetros a avaliar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2FAF" w14:textId="4F83417C" w:rsidR="007B0840" w:rsidRPr="00BA1D00" w:rsidRDefault="007B0840" w:rsidP="00BA1D00">
            <w:pPr>
              <w:ind w:left="33" w:right="93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Cotação Atribuída</w:t>
            </w:r>
          </w:p>
        </w:tc>
      </w:tr>
      <w:tr w:rsidR="00312557" w:rsidRPr="00BA1D00" w14:paraId="2542484E" w14:textId="77777777" w:rsidTr="007B0840">
        <w:tblPrEx>
          <w:tblCellMar>
            <w:right w:w="37" w:type="dxa"/>
          </w:tblCellMar>
        </w:tblPrEx>
        <w:trPr>
          <w:trHeight w:val="68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3DA8C419" w14:textId="34951562" w:rsidR="00312557" w:rsidRPr="00BA1D00" w:rsidRDefault="00312557" w:rsidP="00BA1D00">
            <w:pPr>
              <w:ind w:right="5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1.0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0E77CEB9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Trabalhos escritos e/ou comunicados feitos no âmbito dos serviços </w:t>
            </w: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3BC250AE" w14:textId="77777777" w:rsidTr="007B0840">
        <w:tblPrEx>
          <w:tblCellMar>
            <w:right w:w="37" w:type="dxa"/>
          </w:tblCellMar>
        </w:tblPrEx>
        <w:trPr>
          <w:trHeight w:val="787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9B8B" w14:textId="56621888" w:rsidR="00312557" w:rsidRPr="00BA1D00" w:rsidRDefault="00312557" w:rsidP="00BA1D00">
            <w:pPr>
              <w:ind w:right="48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2113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Trabalhos escritos (protocolos) ou apresentados em reuniões gerais ou de formação no âmbito do Serviço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039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Escritos: </w:t>
            </w:r>
          </w:p>
          <w:p w14:paraId="3AC04152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Apresentados: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AEF1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5F41CE0E" w14:textId="77777777" w:rsidTr="007B0840">
        <w:tblPrEx>
          <w:tblCellMar>
            <w:right w:w="37" w:type="dxa"/>
          </w:tblCellMar>
        </w:tblPrEx>
        <w:trPr>
          <w:trHeight w:val="78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289E0A17" w14:textId="0DCF70BB" w:rsidR="00312557" w:rsidRPr="00BA1D00" w:rsidRDefault="00312557" w:rsidP="00BA1D00">
            <w:pPr>
              <w:ind w:right="5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1.0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51F5D6E4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 xml:space="preserve">Participação, dentro da especialidade, na formação de outros profissionais. </w:t>
            </w:r>
          </w:p>
        </w:tc>
      </w:tr>
      <w:tr w:rsidR="00312557" w:rsidRPr="00BA1D00" w14:paraId="45DA4E0F" w14:textId="77777777" w:rsidTr="007B0840">
        <w:tblPrEx>
          <w:tblCellMar>
            <w:right w:w="37" w:type="dxa"/>
          </w:tblCellMar>
        </w:tblPrEx>
        <w:trPr>
          <w:trHeight w:val="98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D822" w14:textId="6A247758" w:rsidR="00312557" w:rsidRPr="00BA1D00" w:rsidRDefault="00312557" w:rsidP="00BA1D00">
            <w:pPr>
              <w:ind w:right="72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C942" w14:textId="6DCD4DB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Participação na formação pré-graduada e pós-graduada de outros profissionais médicos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4FB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62B3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3020D2A2" w14:textId="77777777" w:rsidTr="007B0840">
        <w:tblPrEx>
          <w:tblCellMar>
            <w:right w:w="37" w:type="dxa"/>
          </w:tblCellMar>
        </w:tblPrEx>
        <w:trPr>
          <w:trHeight w:val="989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77E7" w14:textId="14035AC4" w:rsidR="00312557" w:rsidRPr="00BA1D00" w:rsidRDefault="00312557" w:rsidP="00BA1D00">
            <w:pPr>
              <w:ind w:right="72"/>
              <w:jc w:val="center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3F5E" w14:textId="44C21B30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Atividades desenvolvidas em programas doutorais e de investigação clínica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AF8D" w14:textId="77777777" w:rsidR="00312557" w:rsidRPr="00BA1D00" w:rsidRDefault="00312557" w:rsidP="00BA1D00">
            <w:pPr>
              <w:ind w:right="24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  <w:p w14:paraId="38D662C1" w14:textId="77777777" w:rsidR="00312557" w:rsidRPr="00BA1D00" w:rsidRDefault="00312557" w:rsidP="00BA1D00">
            <w:pPr>
              <w:ind w:right="24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583D" w14:textId="77777777" w:rsidR="00312557" w:rsidRPr="00BA1D00" w:rsidRDefault="00312557" w:rsidP="00BA1D00">
            <w:pPr>
              <w:ind w:right="21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</w:tbl>
    <w:p w14:paraId="610EC973" w14:textId="77777777" w:rsidR="007B0840" w:rsidRPr="00BA1D00" w:rsidRDefault="007B0840" w:rsidP="00BA1D00">
      <w:pPr>
        <w:jc w:val="left"/>
        <w:rPr>
          <w:szCs w:val="21"/>
        </w:rPr>
      </w:pPr>
    </w:p>
    <w:p w14:paraId="075C0D88" w14:textId="77777777" w:rsidR="007B0840" w:rsidRPr="00BA1D00" w:rsidRDefault="007B0840" w:rsidP="00BA1D00">
      <w:pPr>
        <w:autoSpaceDE/>
        <w:autoSpaceDN/>
        <w:jc w:val="left"/>
        <w:rPr>
          <w:rFonts w:eastAsia="Calibri" w:cs="Calibri"/>
          <w:b/>
          <w:szCs w:val="21"/>
        </w:rPr>
      </w:pPr>
      <w:r w:rsidRPr="00BA1D00">
        <w:rPr>
          <w:rFonts w:eastAsia="Calibri" w:cs="Calibri"/>
          <w:b/>
          <w:szCs w:val="21"/>
        </w:rPr>
        <w:br w:type="page"/>
      </w:r>
    </w:p>
    <w:p w14:paraId="344E29F8" w14:textId="1F97386A" w:rsidR="00312557" w:rsidRPr="00BA1D00" w:rsidRDefault="00312557" w:rsidP="00BA1D00">
      <w:pPr>
        <w:pStyle w:val="Ttulo3"/>
      </w:pPr>
      <w:r w:rsidRPr="00BA1D00">
        <w:lastRenderedPageBreak/>
        <w:t>Grelha/matriz de avaliação da Prova Prática</w:t>
      </w:r>
    </w:p>
    <w:tbl>
      <w:tblPr>
        <w:tblStyle w:val="TableGrid"/>
        <w:tblW w:w="5000" w:type="pct"/>
        <w:tblInd w:w="0" w:type="dxa"/>
        <w:tblCellMar>
          <w:top w:w="129" w:type="dxa"/>
          <w:left w:w="79" w:type="dxa"/>
          <w:bottom w:w="190" w:type="dxa"/>
          <w:right w:w="63" w:type="dxa"/>
        </w:tblCellMar>
        <w:tblLook w:val="04A0" w:firstRow="1" w:lastRow="0" w:firstColumn="1" w:lastColumn="0" w:noHBand="0" w:noVBand="1"/>
      </w:tblPr>
      <w:tblGrid>
        <w:gridCol w:w="1398"/>
        <w:gridCol w:w="3869"/>
        <w:gridCol w:w="2168"/>
        <w:gridCol w:w="1399"/>
      </w:tblGrid>
      <w:tr w:rsidR="00312557" w:rsidRPr="00BA1D00" w14:paraId="65740CC1" w14:textId="77777777" w:rsidTr="007B0840">
        <w:trPr>
          <w:trHeight w:val="1042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EE67" w14:textId="51AFD61C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Cotação Máxima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C10E" w14:textId="61B5DCAB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Parâmetros a avaliar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158C" w14:textId="18DF6690" w:rsidR="00312557" w:rsidRPr="00BA1D00" w:rsidRDefault="00312557" w:rsidP="00BA1D00">
            <w:pPr>
              <w:ind w:left="103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Fundamentação da cotação atribuída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5F13" w14:textId="4D6E5F01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Cotação atribuída</w:t>
            </w:r>
          </w:p>
        </w:tc>
      </w:tr>
      <w:tr w:rsidR="00312557" w:rsidRPr="00BA1D00" w14:paraId="340F27F4" w14:textId="77777777" w:rsidTr="007B0840">
        <w:trPr>
          <w:trHeight w:val="1013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3270" w14:textId="5FBDC4FA" w:rsidR="00312557" w:rsidRPr="00BA1D00" w:rsidRDefault="00312557" w:rsidP="00BA1D00">
            <w:pPr>
              <w:ind w:left="4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3.0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C2DC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Metodologia de observação do doente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966" w14:textId="77777777" w:rsidR="00312557" w:rsidRPr="00BA1D00" w:rsidRDefault="00312557" w:rsidP="00BA1D00">
            <w:pPr>
              <w:ind w:left="31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720C" w14:textId="77777777" w:rsidR="00312557" w:rsidRPr="00BA1D00" w:rsidRDefault="00312557" w:rsidP="00BA1D00">
            <w:pPr>
              <w:ind w:left="310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3B812182" w14:textId="77777777" w:rsidTr="007B0840">
        <w:trPr>
          <w:trHeight w:val="1404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7D34" w14:textId="0E3A985E" w:rsidR="00312557" w:rsidRPr="00BA1D00" w:rsidRDefault="00312557" w:rsidP="00BA1D00">
            <w:pPr>
              <w:ind w:left="4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3.0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0B41" w14:textId="77777777" w:rsidR="00312557" w:rsidRPr="00BA1D00" w:rsidRDefault="00312557" w:rsidP="00BA1D00">
            <w:pPr>
              <w:ind w:left="29" w:hanging="29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Integração de conhecimentos expressa na qualidade de anamnese na elaboração da história clínica, na observação e na discussão de diagnósticos diferenciais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B4DF" w14:textId="77777777" w:rsidR="00312557" w:rsidRPr="00BA1D00" w:rsidRDefault="00312557" w:rsidP="00BA1D00">
            <w:pPr>
              <w:ind w:left="31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D61" w14:textId="77777777" w:rsidR="00312557" w:rsidRPr="00BA1D00" w:rsidRDefault="00312557" w:rsidP="00BA1D00">
            <w:pPr>
              <w:ind w:left="310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648992C3" w14:textId="77777777" w:rsidTr="007B0840">
        <w:trPr>
          <w:trHeight w:val="85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47F3" w14:textId="78F4170D" w:rsidR="00312557" w:rsidRPr="00BA1D00" w:rsidRDefault="00312557" w:rsidP="00BA1D00">
            <w:pPr>
              <w:ind w:left="4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2.0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194E" w14:textId="6E25706C" w:rsidR="00312557" w:rsidRPr="00BA1D00" w:rsidRDefault="00312557" w:rsidP="00BA1D00">
            <w:pPr>
              <w:ind w:left="29" w:hanging="29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Exames complementares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 xml:space="preserve">solicitados e sua justificação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B1FB" w14:textId="77777777" w:rsidR="00312557" w:rsidRPr="00BA1D00" w:rsidRDefault="00312557" w:rsidP="00BA1D00">
            <w:pPr>
              <w:ind w:left="31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D28E" w14:textId="77777777" w:rsidR="00312557" w:rsidRPr="00BA1D00" w:rsidRDefault="00312557" w:rsidP="00BA1D00">
            <w:pPr>
              <w:ind w:left="310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0645AACD" w14:textId="77777777" w:rsidTr="007B0840">
        <w:trPr>
          <w:trHeight w:val="1553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2260" w14:textId="472543CF" w:rsidR="00312557" w:rsidRPr="00BA1D00" w:rsidRDefault="00312557" w:rsidP="00BA1D00">
            <w:pPr>
              <w:ind w:left="4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5.0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870E" w14:textId="6B11E152" w:rsidR="00312557" w:rsidRPr="00BA1D00" w:rsidRDefault="00312557" w:rsidP="00BA1D00">
            <w:pPr>
              <w:ind w:left="29" w:right="4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>Relatório final como forma de expressão da integração de conhecimentos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>necessários ao diagnóstico, plano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>terapêutico, plano de seguimento e</w:t>
            </w:r>
            <w:r w:rsidR="00836B3E" w:rsidRPr="00BA1D00">
              <w:rPr>
                <w:sz w:val="18"/>
                <w:szCs w:val="18"/>
              </w:rPr>
              <w:t xml:space="preserve"> </w:t>
            </w:r>
            <w:r w:rsidRPr="00BA1D00">
              <w:rPr>
                <w:sz w:val="18"/>
                <w:szCs w:val="18"/>
              </w:rPr>
              <w:t xml:space="preserve">prognóstico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F72F" w14:textId="77777777" w:rsidR="00312557" w:rsidRPr="00BA1D00" w:rsidRDefault="00312557" w:rsidP="00BA1D00">
            <w:pPr>
              <w:ind w:left="31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8A68" w14:textId="77777777" w:rsidR="00312557" w:rsidRPr="00BA1D00" w:rsidRDefault="00312557" w:rsidP="00BA1D00">
            <w:pPr>
              <w:ind w:left="310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289F3124" w14:textId="77777777" w:rsidTr="007B0840">
        <w:trPr>
          <w:trHeight w:val="114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270E" w14:textId="7BA7403A" w:rsidR="00312557" w:rsidRPr="00BA1D00" w:rsidRDefault="00312557" w:rsidP="00BA1D00">
            <w:pPr>
              <w:ind w:left="4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7.0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20DA" w14:textId="77777777" w:rsidR="00312557" w:rsidRPr="00BA1D00" w:rsidRDefault="00312557" w:rsidP="00BA1D00">
            <w:pPr>
              <w:ind w:left="29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Discussão do caso clínico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F9BB" w14:textId="77777777" w:rsidR="00312557" w:rsidRPr="00BA1D00" w:rsidRDefault="00312557" w:rsidP="00BA1D00">
            <w:pPr>
              <w:ind w:left="312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26B1" w14:textId="77777777" w:rsidR="00312557" w:rsidRPr="00BA1D00" w:rsidRDefault="00312557" w:rsidP="00BA1D00">
            <w:pPr>
              <w:ind w:left="310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</w:tbl>
    <w:p w14:paraId="7E2CE793" w14:textId="77777777" w:rsidR="00312557" w:rsidRPr="00BA1D00" w:rsidRDefault="00312557" w:rsidP="00BA1D00">
      <w:pPr>
        <w:ind w:left="1135"/>
        <w:jc w:val="left"/>
        <w:rPr>
          <w:szCs w:val="21"/>
        </w:rPr>
      </w:pPr>
      <w:r w:rsidRPr="00BA1D00">
        <w:rPr>
          <w:szCs w:val="21"/>
        </w:rPr>
        <w:t xml:space="preserve"> </w:t>
      </w:r>
      <w:r w:rsidRPr="00BA1D00">
        <w:rPr>
          <w:szCs w:val="21"/>
        </w:rPr>
        <w:tab/>
        <w:t xml:space="preserve"> </w:t>
      </w:r>
      <w:r w:rsidRPr="00BA1D00">
        <w:rPr>
          <w:szCs w:val="21"/>
        </w:rPr>
        <w:tab/>
        <w:t xml:space="preserve"> </w:t>
      </w:r>
      <w:r w:rsidRPr="00BA1D00">
        <w:rPr>
          <w:szCs w:val="21"/>
        </w:rPr>
        <w:tab/>
        <w:t xml:space="preserve"> </w:t>
      </w:r>
    </w:p>
    <w:p w14:paraId="63242BC7" w14:textId="77777777" w:rsidR="007B0840" w:rsidRPr="00BA1D00" w:rsidRDefault="007B0840" w:rsidP="00BA1D00">
      <w:pPr>
        <w:autoSpaceDE/>
        <w:autoSpaceDN/>
        <w:jc w:val="left"/>
        <w:rPr>
          <w:rFonts w:eastAsia="Calibri" w:cs="Calibri"/>
          <w:b/>
          <w:szCs w:val="21"/>
        </w:rPr>
      </w:pPr>
      <w:r w:rsidRPr="00BA1D00">
        <w:rPr>
          <w:rFonts w:eastAsia="Calibri" w:cs="Calibri"/>
          <w:b/>
          <w:szCs w:val="21"/>
        </w:rPr>
        <w:br w:type="page"/>
      </w:r>
    </w:p>
    <w:p w14:paraId="157DFCB9" w14:textId="3019A6E3" w:rsidR="00312557" w:rsidRPr="00BA1D00" w:rsidRDefault="00312557" w:rsidP="00BA1D00">
      <w:pPr>
        <w:pStyle w:val="Ttulo3"/>
      </w:pPr>
      <w:r w:rsidRPr="00BA1D00">
        <w:lastRenderedPageBreak/>
        <w:t xml:space="preserve">Grelha/matriz de avaliação da Prova Teórica (Oral) </w:t>
      </w:r>
    </w:p>
    <w:tbl>
      <w:tblPr>
        <w:tblStyle w:val="TableGrid"/>
        <w:tblW w:w="5000" w:type="pct"/>
        <w:tblInd w:w="0" w:type="dxa"/>
        <w:tblCellMar>
          <w:top w:w="53" w:type="dxa"/>
          <w:right w:w="59" w:type="dxa"/>
        </w:tblCellMar>
        <w:tblLook w:val="04A0" w:firstRow="1" w:lastRow="0" w:firstColumn="1" w:lastColumn="0" w:noHBand="0" w:noVBand="1"/>
      </w:tblPr>
      <w:tblGrid>
        <w:gridCol w:w="1378"/>
        <w:gridCol w:w="3306"/>
        <w:gridCol w:w="565"/>
        <w:gridCol w:w="274"/>
        <w:gridCol w:w="2009"/>
        <w:gridCol w:w="1302"/>
      </w:tblGrid>
      <w:tr w:rsidR="00312557" w:rsidRPr="00BA1D00" w14:paraId="440A850B" w14:textId="77777777" w:rsidTr="007B0840">
        <w:trPr>
          <w:trHeight w:val="802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FA7C" w14:textId="7DB05EE9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Cotação Máxima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A2024" w14:textId="723606E1" w:rsidR="00312557" w:rsidRPr="00BA1D00" w:rsidRDefault="00312557" w:rsidP="00BA1D00">
            <w:pPr>
              <w:ind w:right="166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Parâmetros a avaliar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4FEEA6" w14:textId="77777777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353E2" w14:textId="77777777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EF6D" w14:textId="1DB2D7B5" w:rsidR="00312557" w:rsidRPr="00BA1D00" w:rsidRDefault="00312557" w:rsidP="00BA1D00">
            <w:pPr>
              <w:ind w:left="110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Fundamentação da cotação atribuída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F8C6" w14:textId="7109F8DE" w:rsidR="00312557" w:rsidRPr="00BA1D00" w:rsidRDefault="00312557" w:rsidP="00BA1D00">
            <w:pPr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Cotação atribuída</w:t>
            </w:r>
          </w:p>
        </w:tc>
      </w:tr>
      <w:tr w:rsidR="00312557" w:rsidRPr="00BA1D00" w14:paraId="4AE22A15" w14:textId="77777777" w:rsidTr="007B0840">
        <w:trPr>
          <w:trHeight w:val="1116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CAEA" w14:textId="5A57DDB7" w:rsidR="00312557" w:rsidRPr="00BA1D00" w:rsidRDefault="00312557" w:rsidP="00BA1D00">
            <w:pPr>
              <w:ind w:left="343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5.0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B5DA3" w14:textId="77777777" w:rsidR="00312557" w:rsidRPr="00BA1D00" w:rsidRDefault="00312557" w:rsidP="00BA1D00">
            <w:pPr>
              <w:ind w:left="108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Nível de conhecimentos nas várias oftalmológica pediátrica. 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A3D588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áreas </w:t>
            </w: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3BFC2" w14:textId="77777777" w:rsidR="00312557" w:rsidRPr="00BA1D00" w:rsidRDefault="00312557" w:rsidP="00BA1D00">
            <w:pPr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da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7CBA" w14:textId="77777777" w:rsidR="00312557" w:rsidRPr="00BA1D00" w:rsidRDefault="00312557" w:rsidP="00BA1D00">
            <w:pPr>
              <w:ind w:left="391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99CD" w14:textId="77777777" w:rsidR="00312557" w:rsidRPr="00BA1D00" w:rsidRDefault="00312557" w:rsidP="00BA1D00">
            <w:pPr>
              <w:ind w:left="391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44C3A57A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54F3" w14:textId="77E19DDA" w:rsidR="00312557" w:rsidRPr="00BA1D00" w:rsidRDefault="00312557" w:rsidP="00BA1D00">
            <w:pPr>
              <w:ind w:left="342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5.0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C8A3" w14:textId="77777777" w:rsidR="00312557" w:rsidRPr="00BA1D00" w:rsidRDefault="00312557" w:rsidP="00BA1D00">
            <w:pPr>
              <w:ind w:left="103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Nível de conhecimentos nas várias áreas do estrabismo da criança e do adulto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17AB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B7BD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6BB6F807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0EAA" w14:textId="2571B560" w:rsidR="00312557" w:rsidRPr="00BA1D00" w:rsidRDefault="00312557" w:rsidP="00BA1D00">
            <w:pPr>
              <w:ind w:left="342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4.0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6554" w14:textId="77777777" w:rsidR="00312557" w:rsidRPr="00BA1D00" w:rsidRDefault="00312557" w:rsidP="00BA1D00">
            <w:pPr>
              <w:ind w:left="103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Nível de conhecimentos das técnicas de diagnóstico e terapêutica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0BA0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D73B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  <w:tr w:rsidR="00312557" w:rsidRPr="00BA1D00" w14:paraId="246442BF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1FA6" w14:textId="1647DD0C" w:rsidR="00312557" w:rsidRPr="00BA1D00" w:rsidRDefault="00312557" w:rsidP="00BA1D00">
            <w:pPr>
              <w:ind w:left="342"/>
              <w:jc w:val="center"/>
              <w:rPr>
                <w:sz w:val="18"/>
                <w:szCs w:val="18"/>
              </w:rPr>
            </w:pPr>
            <w:r w:rsidRPr="00BA1D00">
              <w:rPr>
                <w:rFonts w:eastAsia="Calibri" w:cs="Calibri"/>
                <w:b/>
                <w:sz w:val="18"/>
                <w:szCs w:val="18"/>
              </w:rPr>
              <w:t>6.0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DEE" w14:textId="77777777" w:rsidR="00312557" w:rsidRPr="00BA1D00" w:rsidRDefault="00312557" w:rsidP="00BA1D00">
            <w:pPr>
              <w:ind w:left="103" w:hanging="103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Capacidade de integração dos conhecimentos científicos e técnicos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2925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476E" w14:textId="77777777" w:rsidR="00312557" w:rsidRPr="00BA1D00" w:rsidRDefault="00312557" w:rsidP="00BA1D00">
            <w:pPr>
              <w:ind w:left="386"/>
              <w:jc w:val="left"/>
              <w:rPr>
                <w:sz w:val="18"/>
                <w:szCs w:val="18"/>
              </w:rPr>
            </w:pPr>
            <w:r w:rsidRPr="00BA1D00">
              <w:rPr>
                <w:sz w:val="18"/>
                <w:szCs w:val="18"/>
              </w:rPr>
              <w:t xml:space="preserve"> </w:t>
            </w:r>
          </w:p>
        </w:tc>
      </w:tr>
    </w:tbl>
    <w:p w14:paraId="000000F2" w14:textId="0CA3F8EC" w:rsidR="00984F7A" w:rsidRPr="00BA1D00" w:rsidRDefault="00984F7A" w:rsidP="00BA1D00">
      <w:pPr>
        <w:ind w:right="2790"/>
        <w:rPr>
          <w:szCs w:val="21"/>
        </w:rPr>
      </w:pPr>
    </w:p>
    <w:sectPr w:rsidR="00984F7A" w:rsidRPr="00BA1D00" w:rsidSect="00F425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1" w:bottom="1531" w:left="1531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0EF3" w14:textId="77777777" w:rsidR="00C4679E" w:rsidRDefault="00C4679E" w:rsidP="00C94901">
      <w:r>
        <w:separator/>
      </w:r>
    </w:p>
  </w:endnote>
  <w:endnote w:type="continuationSeparator" w:id="0">
    <w:p w14:paraId="1F32A97C" w14:textId="77777777" w:rsidR="00C4679E" w:rsidRDefault="00C4679E" w:rsidP="00C9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illa Slab">
    <w:altName w:val="Calibri"/>
    <w:charset w:val="4D"/>
    <w:family w:val="auto"/>
    <w:pitch w:val="variable"/>
    <w:sig w:usb0="A00000FF" w:usb1="5001E47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82678329"/>
      <w:docPartObj>
        <w:docPartGallery w:val="Page Numbers (Bottom of Page)"/>
        <w:docPartUnique/>
      </w:docPartObj>
    </w:sdtPr>
    <w:sdtContent>
      <w:p w14:paraId="2EB243B4" w14:textId="231F18B0" w:rsidR="00C7218A" w:rsidRDefault="00C7218A" w:rsidP="000B2FA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A99AE7" w14:textId="77777777" w:rsidR="00C7218A" w:rsidRDefault="00C7218A" w:rsidP="00C7218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2"/>
        <w:szCs w:val="24"/>
      </w:rPr>
      <w:id w:val="1168746137"/>
      <w:docPartObj>
        <w:docPartGallery w:val="Page Numbers (Bottom of Page)"/>
        <w:docPartUnique/>
      </w:docPartObj>
    </w:sdtPr>
    <w:sdtEndPr>
      <w:rPr>
        <w:rStyle w:val="Nmerodepgina"/>
        <w:sz w:val="18"/>
        <w:szCs w:val="20"/>
      </w:rPr>
    </w:sdtEndPr>
    <w:sdtContent>
      <w:p w14:paraId="33B9AD89" w14:textId="6E6D35C1" w:rsidR="00C7218A" w:rsidRPr="001742BD" w:rsidRDefault="00C7218A" w:rsidP="000B2FA6">
        <w:pPr>
          <w:pStyle w:val="Rodap"/>
          <w:framePr w:wrap="none" w:vAnchor="text" w:hAnchor="margin" w:xAlign="right" w:y="1"/>
          <w:rPr>
            <w:rStyle w:val="Nmerodepgina"/>
            <w:sz w:val="18"/>
            <w:szCs w:val="20"/>
          </w:rPr>
        </w:pPr>
        <w:r w:rsidRPr="001742BD">
          <w:rPr>
            <w:rStyle w:val="Nmerodepgina"/>
            <w:sz w:val="18"/>
            <w:szCs w:val="20"/>
          </w:rPr>
          <w:fldChar w:fldCharType="begin"/>
        </w:r>
        <w:r w:rsidRPr="001742BD">
          <w:rPr>
            <w:rStyle w:val="Nmerodepgina"/>
            <w:sz w:val="18"/>
            <w:szCs w:val="20"/>
          </w:rPr>
          <w:instrText xml:space="preserve"> PAGE </w:instrText>
        </w:r>
        <w:r w:rsidRPr="001742BD">
          <w:rPr>
            <w:rStyle w:val="Nmerodepgina"/>
            <w:sz w:val="18"/>
            <w:szCs w:val="20"/>
          </w:rPr>
          <w:fldChar w:fldCharType="separate"/>
        </w:r>
        <w:r w:rsidRPr="001742BD">
          <w:rPr>
            <w:rStyle w:val="Nmerodepgina"/>
            <w:noProof/>
            <w:sz w:val="18"/>
            <w:szCs w:val="20"/>
          </w:rPr>
          <w:t>2</w:t>
        </w:r>
        <w:r w:rsidRPr="001742BD">
          <w:rPr>
            <w:rStyle w:val="Nmerodepgina"/>
            <w:sz w:val="18"/>
            <w:szCs w:val="20"/>
          </w:rPr>
          <w:fldChar w:fldCharType="end"/>
        </w:r>
      </w:p>
    </w:sdtContent>
  </w:sdt>
  <w:p w14:paraId="5221C6D2" w14:textId="525ED987" w:rsidR="00C7218A" w:rsidRPr="00BA1D00" w:rsidRDefault="008701F2" w:rsidP="00BA1D00">
    <w:pPr>
      <w:pStyle w:val="Corpodetexto"/>
    </w:pPr>
    <w:r w:rsidRPr="00BA1D00">
      <w:t xml:space="preserve">Subespecialidade de </w:t>
    </w:r>
    <w:r w:rsidR="00312557" w:rsidRPr="00BA1D00">
      <w:t>Oftalmologia Pediátrica e Estrabismo</w:t>
    </w:r>
  </w:p>
  <w:p w14:paraId="5729CA93" w14:textId="771E6A00" w:rsidR="008701F2" w:rsidRPr="00BA1D00" w:rsidRDefault="00312557" w:rsidP="00BA1D00">
    <w:pPr>
      <w:pStyle w:val="Corpodetexto"/>
    </w:pPr>
    <w:r w:rsidRPr="00BA1D00">
      <w:t>Oftalmologia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132" w14:textId="610B0069" w:rsidR="00B33421" w:rsidRPr="001742BD" w:rsidRDefault="00B33421" w:rsidP="00C94901">
    <w:pPr>
      <w:pStyle w:val="Rodap"/>
      <w:rPr>
        <w:sz w:val="18"/>
        <w:szCs w:val="20"/>
      </w:rPr>
    </w:pPr>
    <w:r w:rsidRPr="001742BD">
      <w:rPr>
        <w:sz w:val="18"/>
        <w:szCs w:val="20"/>
      </w:rPr>
      <w:t xml:space="preserve">Aprovado </w:t>
    </w:r>
    <w:r w:rsidR="00C7218A" w:rsidRPr="001742BD">
      <w:rPr>
        <w:sz w:val="18"/>
        <w:szCs w:val="20"/>
      </w:rPr>
      <w:t>em Assembleia de Representantes</w:t>
    </w:r>
    <w:r w:rsidRPr="001742BD">
      <w:rPr>
        <w:sz w:val="18"/>
        <w:szCs w:val="20"/>
      </w:rPr>
      <w:t xml:space="preserve"> </w:t>
    </w:r>
    <w:r w:rsidR="00312557">
      <w:rPr>
        <w:sz w:val="18"/>
        <w:szCs w:val="20"/>
      </w:rPr>
      <w:t>03</w:t>
    </w:r>
    <w:r w:rsidRPr="001742BD">
      <w:rPr>
        <w:sz w:val="18"/>
        <w:szCs w:val="20"/>
      </w:rPr>
      <w:t>.</w:t>
    </w:r>
    <w:r w:rsidR="00312557">
      <w:rPr>
        <w:sz w:val="18"/>
        <w:szCs w:val="20"/>
      </w:rPr>
      <w:t>07</w:t>
    </w:r>
    <w:r w:rsidRPr="001742BD">
      <w:rPr>
        <w:sz w:val="18"/>
        <w:szCs w:val="20"/>
      </w:rPr>
      <w:t>.202</w:t>
    </w:r>
    <w:r w:rsidR="00312557">
      <w:rPr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00D9" w14:textId="77777777" w:rsidR="00C4679E" w:rsidRDefault="00C4679E" w:rsidP="00C94901">
      <w:r>
        <w:separator/>
      </w:r>
    </w:p>
  </w:footnote>
  <w:footnote w:type="continuationSeparator" w:id="0">
    <w:p w14:paraId="1AA4D92C" w14:textId="77777777" w:rsidR="00C4679E" w:rsidRDefault="00C4679E" w:rsidP="00C9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ED88" w14:textId="77777777" w:rsidR="00D256F0" w:rsidRDefault="00D256F0" w:rsidP="008F16A4">
    <w:pPr>
      <w:pStyle w:val="Cabealho"/>
      <w:ind w:left="-1531"/>
    </w:pPr>
    <w:r>
      <w:rPr>
        <w:noProof/>
      </w:rPr>
      <w:drawing>
        <wp:inline distT="0" distB="0" distL="0" distR="0" wp14:anchorId="4EDA02DE" wp14:editId="775F7711">
          <wp:extent cx="7803196" cy="1563370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48" cy="15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C94901">
    <w:pPr>
      <w:pStyle w:val="Cabealho"/>
    </w:pPr>
  </w:p>
  <w:p w14:paraId="223628D8" w14:textId="77777777" w:rsidR="00175DD4" w:rsidRDefault="00175DD4" w:rsidP="00C949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4106" w14:textId="03811BC0" w:rsidR="00B33421" w:rsidRDefault="00B33421" w:rsidP="00F4255D">
    <w:pPr>
      <w:pStyle w:val="Cabealho"/>
      <w:ind w:left="-1531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2262565D" w:rsidR="00B33421" w:rsidRDefault="00B33421" w:rsidP="00C94901">
    <w:pPr>
      <w:pStyle w:val="Cabealho"/>
    </w:pPr>
  </w:p>
  <w:p w14:paraId="3ECB685E" w14:textId="77777777" w:rsidR="00C7218A" w:rsidRPr="00B33421" w:rsidRDefault="00C7218A" w:rsidP="00C9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8BC"/>
    <w:multiLevelType w:val="multilevel"/>
    <w:tmpl w:val="60A871A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D1FDB"/>
    <w:multiLevelType w:val="multilevel"/>
    <w:tmpl w:val="0809001D"/>
    <w:numStyleLink w:val="Style3"/>
  </w:abstractNum>
  <w:abstractNum w:abstractNumId="2" w15:restartNumberingAfterBreak="0">
    <w:nsid w:val="0839334C"/>
    <w:multiLevelType w:val="hybridMultilevel"/>
    <w:tmpl w:val="60C4DED6"/>
    <w:lvl w:ilvl="0" w:tplc="464C5E44">
      <w:start w:val="1"/>
      <w:numFmt w:val="lowerLetter"/>
      <w:lvlText w:val="%1)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898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63B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CF7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C3D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296B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C75A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DD4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AB12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964E1"/>
    <w:multiLevelType w:val="hybridMultilevel"/>
    <w:tmpl w:val="B588D764"/>
    <w:lvl w:ilvl="0" w:tplc="A6CA09C0">
      <w:start w:val="1"/>
      <w:numFmt w:val="upperRoman"/>
      <w:lvlText w:val="%1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D11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C7C5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8734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857C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036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0AFC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B5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BA3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278C5"/>
    <w:multiLevelType w:val="multilevel"/>
    <w:tmpl w:val="7D62AEA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4088B"/>
    <w:multiLevelType w:val="hybridMultilevel"/>
    <w:tmpl w:val="EC121018"/>
    <w:lvl w:ilvl="0" w:tplc="B600975C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7F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047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5E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8B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839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845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2E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D6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71D83"/>
    <w:multiLevelType w:val="hybridMultilevel"/>
    <w:tmpl w:val="BE24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0B5"/>
    <w:multiLevelType w:val="multilevel"/>
    <w:tmpl w:val="4D566E66"/>
    <w:lvl w:ilvl="0">
      <w:start w:val="1"/>
      <w:numFmt w:val="decimal"/>
      <w:lvlText w:val="%1."/>
      <w:lvlJc w:val="left"/>
      <w:pPr>
        <w:ind w:left="1214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8489B"/>
    <w:multiLevelType w:val="multilevel"/>
    <w:tmpl w:val="67187B8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2C3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832BC7"/>
    <w:multiLevelType w:val="multilevel"/>
    <w:tmpl w:val="A4D6335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56237"/>
    <w:multiLevelType w:val="hybridMultilevel"/>
    <w:tmpl w:val="39000A46"/>
    <w:lvl w:ilvl="0" w:tplc="984C02C8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9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8E5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06B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1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E1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CD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E4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AFF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3B29B4"/>
    <w:multiLevelType w:val="hybridMultilevel"/>
    <w:tmpl w:val="1624D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1351A"/>
    <w:multiLevelType w:val="hybridMultilevel"/>
    <w:tmpl w:val="B3FE8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189E"/>
    <w:multiLevelType w:val="multilevel"/>
    <w:tmpl w:val="93C68FDE"/>
    <w:lvl w:ilvl="0">
      <w:start w:val="1"/>
      <w:numFmt w:val="upperLetter"/>
      <w:lvlText w:val="%1."/>
      <w:lvlJc w:val="left"/>
      <w:pPr>
        <w:ind w:left="1070"/>
      </w:pPr>
      <w:rPr>
        <w:rFonts w:ascii="Work Sans" w:eastAsia="Calibri" w:hAnsi="Work Sans" w:cs="Calibri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442EF"/>
    <w:multiLevelType w:val="hybridMultilevel"/>
    <w:tmpl w:val="3F2CE402"/>
    <w:lvl w:ilvl="0" w:tplc="DC1CE06E">
      <w:start w:val="3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23D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249C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E17E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D41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8BA1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25DF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EC7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202A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D60A9"/>
    <w:multiLevelType w:val="multilevel"/>
    <w:tmpl w:val="5C2EEE6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6416E"/>
    <w:multiLevelType w:val="multilevel"/>
    <w:tmpl w:val="0809001D"/>
    <w:styleLink w:val="Style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0961F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1D6DE6"/>
    <w:multiLevelType w:val="hybridMultilevel"/>
    <w:tmpl w:val="CFE29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F68B3"/>
    <w:multiLevelType w:val="multilevel"/>
    <w:tmpl w:val="07327CA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8979BF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B11049"/>
    <w:multiLevelType w:val="hybridMultilevel"/>
    <w:tmpl w:val="6BB8DAA6"/>
    <w:lvl w:ilvl="0" w:tplc="CE3A1E70">
      <w:start w:val="1"/>
      <w:numFmt w:val="decimal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6C1666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2B23E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A2998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ACED6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2C12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9478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274BC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2DBF2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80AB6"/>
    <w:multiLevelType w:val="hybridMultilevel"/>
    <w:tmpl w:val="95A6A29E"/>
    <w:lvl w:ilvl="0" w:tplc="12521CC4">
      <w:start w:val="1"/>
      <w:numFmt w:val="upperLetter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181536">
      <w:start w:val="1"/>
      <w:numFmt w:val="lowerLetter"/>
      <w:lvlText w:val="%2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6E5A4">
      <w:start w:val="1"/>
      <w:numFmt w:val="lowerRoman"/>
      <w:lvlText w:val="%3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D4F4">
      <w:start w:val="1"/>
      <w:numFmt w:val="decimal"/>
      <w:lvlText w:val="%4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CE36E">
      <w:start w:val="1"/>
      <w:numFmt w:val="lowerLetter"/>
      <w:lvlText w:val="%5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0C30E">
      <w:start w:val="1"/>
      <w:numFmt w:val="lowerRoman"/>
      <w:lvlText w:val="%6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C23C8">
      <w:start w:val="1"/>
      <w:numFmt w:val="decimal"/>
      <w:lvlText w:val="%7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2FF2">
      <w:start w:val="1"/>
      <w:numFmt w:val="lowerLetter"/>
      <w:lvlText w:val="%8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9D26">
      <w:start w:val="1"/>
      <w:numFmt w:val="lowerRoman"/>
      <w:lvlText w:val="%9"/>
      <w:lvlJc w:val="left"/>
      <w:pPr>
        <w:ind w:left="6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855D70"/>
    <w:multiLevelType w:val="hybridMultilevel"/>
    <w:tmpl w:val="C23285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62F6"/>
    <w:multiLevelType w:val="multilevel"/>
    <w:tmpl w:val="D264004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17C1F"/>
    <w:multiLevelType w:val="hybridMultilevel"/>
    <w:tmpl w:val="A64C4222"/>
    <w:lvl w:ilvl="0" w:tplc="7054D39C">
      <w:start w:val="1"/>
      <w:numFmt w:val="lowerLetter"/>
      <w:lvlText w:val="%1)"/>
      <w:lvlJc w:val="left"/>
      <w:pPr>
        <w:ind w:left="980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80E66"/>
    <w:multiLevelType w:val="multilevel"/>
    <w:tmpl w:val="6C70724E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BA14C1"/>
    <w:multiLevelType w:val="hybridMultilevel"/>
    <w:tmpl w:val="39A007C4"/>
    <w:lvl w:ilvl="0" w:tplc="5A7A5154">
      <w:start w:val="1"/>
      <w:numFmt w:val="decimal"/>
      <w:lvlText w:val="%1."/>
      <w:lvlJc w:val="left"/>
      <w:pPr>
        <w:ind w:left="427"/>
      </w:pPr>
      <w:rPr>
        <w:rFonts w:ascii="Work Sans" w:eastAsia="Times New Roman" w:hAnsi="Work Sans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0E6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00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0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A8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4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83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CE0E94"/>
    <w:multiLevelType w:val="hybridMultilevel"/>
    <w:tmpl w:val="651A1676"/>
    <w:lvl w:ilvl="0" w:tplc="257A1D74">
      <w:start w:val="1"/>
      <w:numFmt w:val="lowerLetter"/>
      <w:lvlText w:val="%1)"/>
      <w:lvlJc w:val="left"/>
      <w:pPr>
        <w:ind w:left="427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272B3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C1D2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AB32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CAC7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618D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260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D46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6D2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B2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0F60DE"/>
    <w:multiLevelType w:val="hybridMultilevel"/>
    <w:tmpl w:val="AE267C06"/>
    <w:lvl w:ilvl="0" w:tplc="99DE715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90B4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241F3"/>
    <w:multiLevelType w:val="multilevel"/>
    <w:tmpl w:val="8F3C757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6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E84B34"/>
    <w:multiLevelType w:val="multilevel"/>
    <w:tmpl w:val="B3348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9E43D3"/>
    <w:multiLevelType w:val="multilevel"/>
    <w:tmpl w:val="AD0AC94C"/>
    <w:lvl w:ilvl="0">
      <w:start w:val="1"/>
      <w:numFmt w:val="decimal"/>
      <w:lvlText w:val="%1."/>
      <w:lvlJc w:val="left"/>
      <w:pPr>
        <w:ind w:left="1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8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9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604272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</w:num>
  <w:num w:numId="2" w16cid:durableId="541985147">
    <w:abstractNumId w:val="30"/>
  </w:num>
  <w:num w:numId="3" w16cid:durableId="1518081790">
    <w:abstractNumId w:val="6"/>
  </w:num>
  <w:num w:numId="4" w16cid:durableId="2106418104">
    <w:abstractNumId w:val="32"/>
  </w:num>
  <w:num w:numId="5" w16cid:durableId="299312485">
    <w:abstractNumId w:val="13"/>
  </w:num>
  <w:num w:numId="6" w16cid:durableId="1276910550">
    <w:abstractNumId w:val="12"/>
  </w:num>
  <w:num w:numId="7" w16cid:durableId="50856336">
    <w:abstractNumId w:val="18"/>
  </w:num>
  <w:num w:numId="8" w16cid:durableId="1751076365">
    <w:abstractNumId w:val="21"/>
  </w:num>
  <w:num w:numId="9" w16cid:durableId="1089929386">
    <w:abstractNumId w:val="17"/>
  </w:num>
  <w:num w:numId="10" w16cid:durableId="1663465580">
    <w:abstractNumId w:val="9"/>
  </w:num>
  <w:num w:numId="11" w16cid:durableId="1298216456">
    <w:abstractNumId w:val="24"/>
  </w:num>
  <w:num w:numId="12" w16cid:durableId="1870754136">
    <w:abstractNumId w:val="26"/>
  </w:num>
  <w:num w:numId="13" w16cid:durableId="1883590215">
    <w:abstractNumId w:val="19"/>
  </w:num>
  <w:num w:numId="14" w16cid:durableId="1061292404">
    <w:abstractNumId w:val="29"/>
  </w:num>
  <w:num w:numId="15" w16cid:durableId="1337075441">
    <w:abstractNumId w:val="3"/>
  </w:num>
  <w:num w:numId="16" w16cid:durableId="1427267639">
    <w:abstractNumId w:val="14"/>
  </w:num>
  <w:num w:numId="17" w16cid:durableId="1214852393">
    <w:abstractNumId w:val="23"/>
  </w:num>
  <w:num w:numId="18" w16cid:durableId="52120712">
    <w:abstractNumId w:val="22"/>
  </w:num>
  <w:num w:numId="19" w16cid:durableId="1121875484">
    <w:abstractNumId w:val="7"/>
  </w:num>
  <w:num w:numId="20" w16cid:durableId="1827936358">
    <w:abstractNumId w:val="25"/>
  </w:num>
  <w:num w:numId="21" w16cid:durableId="1778909844">
    <w:abstractNumId w:val="10"/>
  </w:num>
  <w:num w:numId="22" w16cid:durableId="1809203003">
    <w:abstractNumId w:val="20"/>
  </w:num>
  <w:num w:numId="23" w16cid:durableId="708602637">
    <w:abstractNumId w:val="8"/>
  </w:num>
  <w:num w:numId="24" w16cid:durableId="171800574">
    <w:abstractNumId w:val="27"/>
  </w:num>
  <w:num w:numId="25" w16cid:durableId="1768231939">
    <w:abstractNumId w:val="4"/>
  </w:num>
  <w:num w:numId="26" w16cid:durableId="609821164">
    <w:abstractNumId w:val="16"/>
  </w:num>
  <w:num w:numId="27" w16cid:durableId="1765221373">
    <w:abstractNumId w:val="0"/>
  </w:num>
  <w:num w:numId="28" w16cid:durableId="454719447">
    <w:abstractNumId w:val="31"/>
  </w:num>
  <w:num w:numId="29" w16cid:durableId="950941689">
    <w:abstractNumId w:val="33"/>
  </w:num>
  <w:num w:numId="30" w16cid:durableId="1093666473">
    <w:abstractNumId w:val="28"/>
  </w:num>
  <w:num w:numId="31" w16cid:durableId="1679886345">
    <w:abstractNumId w:val="2"/>
  </w:num>
  <w:num w:numId="32" w16cid:durableId="592664317">
    <w:abstractNumId w:val="15"/>
  </w:num>
  <w:num w:numId="33" w16cid:durableId="506870520">
    <w:abstractNumId w:val="5"/>
  </w:num>
  <w:num w:numId="34" w16cid:durableId="181285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304FE"/>
    <w:rsid w:val="000707CE"/>
    <w:rsid w:val="0010599F"/>
    <w:rsid w:val="00124812"/>
    <w:rsid w:val="001742BD"/>
    <w:rsid w:val="00175DD4"/>
    <w:rsid w:val="001A7545"/>
    <w:rsid w:val="001D03AB"/>
    <w:rsid w:val="00256381"/>
    <w:rsid w:val="002B440F"/>
    <w:rsid w:val="002C2598"/>
    <w:rsid w:val="00312557"/>
    <w:rsid w:val="003256EE"/>
    <w:rsid w:val="00350CCA"/>
    <w:rsid w:val="00361677"/>
    <w:rsid w:val="00407831"/>
    <w:rsid w:val="00431EA7"/>
    <w:rsid w:val="00434576"/>
    <w:rsid w:val="00580678"/>
    <w:rsid w:val="005A2C23"/>
    <w:rsid w:val="005A4834"/>
    <w:rsid w:val="005E33AF"/>
    <w:rsid w:val="005F4B29"/>
    <w:rsid w:val="00643277"/>
    <w:rsid w:val="006C09EB"/>
    <w:rsid w:val="006F6DFA"/>
    <w:rsid w:val="007B0840"/>
    <w:rsid w:val="007C2794"/>
    <w:rsid w:val="0080662F"/>
    <w:rsid w:val="00836B3E"/>
    <w:rsid w:val="008701F2"/>
    <w:rsid w:val="00881483"/>
    <w:rsid w:val="00882C6C"/>
    <w:rsid w:val="00890F77"/>
    <w:rsid w:val="008A2406"/>
    <w:rsid w:val="008E2310"/>
    <w:rsid w:val="008F16A4"/>
    <w:rsid w:val="0091502A"/>
    <w:rsid w:val="00951C92"/>
    <w:rsid w:val="00984F7A"/>
    <w:rsid w:val="00A33F35"/>
    <w:rsid w:val="00A41B20"/>
    <w:rsid w:val="00A55340"/>
    <w:rsid w:val="00B33421"/>
    <w:rsid w:val="00B55A07"/>
    <w:rsid w:val="00B62056"/>
    <w:rsid w:val="00B925F1"/>
    <w:rsid w:val="00BA1D00"/>
    <w:rsid w:val="00C20054"/>
    <w:rsid w:val="00C42E0F"/>
    <w:rsid w:val="00C4679E"/>
    <w:rsid w:val="00C7218A"/>
    <w:rsid w:val="00C843CC"/>
    <w:rsid w:val="00C94901"/>
    <w:rsid w:val="00CB11D4"/>
    <w:rsid w:val="00D12B19"/>
    <w:rsid w:val="00D1452B"/>
    <w:rsid w:val="00D256F0"/>
    <w:rsid w:val="00D53D90"/>
    <w:rsid w:val="00D72780"/>
    <w:rsid w:val="00D7688F"/>
    <w:rsid w:val="00E81AD0"/>
    <w:rsid w:val="00EE7F76"/>
    <w:rsid w:val="00F12CEF"/>
    <w:rsid w:val="00F2266C"/>
    <w:rsid w:val="00F4255D"/>
    <w:rsid w:val="00F50F20"/>
    <w:rsid w:val="00F93E88"/>
    <w:rsid w:val="00FB5AF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01"/>
    <w:pPr>
      <w:autoSpaceDE w:val="0"/>
      <w:autoSpaceDN w:val="0"/>
      <w:spacing w:line="276" w:lineRule="auto"/>
      <w:jc w:val="both"/>
    </w:pPr>
    <w:rPr>
      <w:rFonts w:ascii="Work Sans" w:hAnsi="Work Sans"/>
      <w:sz w:val="21"/>
    </w:rPr>
  </w:style>
  <w:style w:type="paragraph" w:styleId="Ttulo1">
    <w:name w:val="heading 1"/>
    <w:basedOn w:val="Ttulo2"/>
    <w:next w:val="Normal"/>
    <w:uiPriority w:val="9"/>
    <w:qFormat/>
    <w:rsid w:val="00BA1D00"/>
    <w:pPr>
      <w:spacing w:after="0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BA1D00"/>
    <w:pPr>
      <w:widowControl/>
      <w:autoSpaceDE/>
      <w:autoSpaceDN/>
      <w:spacing w:after="240" w:line="240" w:lineRule="auto"/>
      <w:ind w:right="-512"/>
      <w:jc w:val="left"/>
      <w:outlineLvl w:val="1"/>
    </w:pPr>
    <w:rPr>
      <w:rFonts w:ascii="Zilla Slab" w:eastAsiaTheme="minorHAnsi" w:hAnsi="Zilla Slab" w:cstheme="minorBidi"/>
      <w:b/>
      <w:bCs/>
      <w:color w:val="00B0F0"/>
      <w:kern w:val="2"/>
      <w:sz w:val="28"/>
      <w:szCs w:val="28"/>
      <w:lang w:eastAsia="en-US"/>
      <w14:ligatures w14:val="standardContextual"/>
    </w:rPr>
  </w:style>
  <w:style w:type="paragraph" w:styleId="Ttulo3">
    <w:name w:val="heading 3"/>
    <w:basedOn w:val="Normal"/>
    <w:next w:val="Normal"/>
    <w:uiPriority w:val="9"/>
    <w:unhideWhenUsed/>
    <w:qFormat/>
    <w:rsid w:val="00BA1D00"/>
    <w:pPr>
      <w:spacing w:after="240"/>
      <w:jc w:val="left"/>
      <w:outlineLvl w:val="2"/>
    </w:pPr>
    <w:rPr>
      <w:rFonts w:eastAsia="Calibri" w:cs="Calibri"/>
      <w:b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C7218A"/>
    <w:pPr>
      <w:widowControl/>
      <w:autoSpaceDE/>
      <w:autoSpaceDN/>
      <w:spacing w:line="240" w:lineRule="auto"/>
      <w:jc w:val="left"/>
    </w:pPr>
    <w:rPr>
      <w:rFonts w:eastAsiaTheme="minorHAnsi" w:cstheme="minorBidi"/>
      <w:kern w:val="2"/>
      <w:sz w:val="26"/>
      <w:szCs w:val="26"/>
      <w:lang w:eastAsia="en-US"/>
      <w14:ligatures w14:val="standardContextual"/>
    </w:rPr>
  </w:style>
  <w:style w:type="paragraph" w:styleId="Corpodetexto">
    <w:name w:val="Body Text"/>
    <w:basedOn w:val="Ttulo2"/>
    <w:link w:val="CorpodetextoCarter"/>
    <w:uiPriority w:val="1"/>
    <w:qFormat/>
    <w:rsid w:val="00BA1D00"/>
    <w:pPr>
      <w:spacing w:after="0"/>
    </w:pPr>
    <w:rPr>
      <w:b w:val="0"/>
      <w:bCs w:val="0"/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A1D00"/>
    <w:rPr>
      <w:rFonts w:ascii="Zilla Slab" w:eastAsiaTheme="minorHAnsi" w:hAnsi="Zilla Slab" w:cstheme="minorBidi"/>
      <w:color w:val="00B0F0"/>
      <w:kern w:val="2"/>
      <w:sz w:val="18"/>
      <w:szCs w:val="18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218A"/>
    <w:rPr>
      <w:rFonts w:ascii="Work Sans" w:eastAsiaTheme="minorHAnsi" w:hAnsi="Work Sans" w:cstheme="minorBidi"/>
      <w:kern w:val="2"/>
      <w:sz w:val="26"/>
      <w:szCs w:val="26"/>
      <w:lang w:eastAsia="en-US"/>
      <w14:ligatures w14:val="standardContextual"/>
    </w:rPr>
  </w:style>
  <w:style w:type="table" w:styleId="TabelacomGrelha">
    <w:name w:val="Table Grid"/>
    <w:basedOn w:val="Tabela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576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6F0"/>
  </w:style>
  <w:style w:type="paragraph" w:styleId="Rodap">
    <w:name w:val="footer"/>
    <w:basedOn w:val="Normal"/>
    <w:link w:val="Rodap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6F0"/>
  </w:style>
  <w:style w:type="character" w:styleId="Nmerodepgina">
    <w:name w:val="page number"/>
    <w:basedOn w:val="Tipodeletrapredefinidodopargrafo"/>
    <w:uiPriority w:val="99"/>
    <w:semiHidden/>
    <w:unhideWhenUsed/>
    <w:rsid w:val="00C7218A"/>
  </w:style>
  <w:style w:type="numbering" w:customStyle="1" w:styleId="Style1">
    <w:name w:val="Style1"/>
    <w:uiPriority w:val="99"/>
    <w:rsid w:val="003256EE"/>
    <w:pPr>
      <w:numPr>
        <w:numId w:val="7"/>
      </w:numPr>
    </w:pPr>
  </w:style>
  <w:style w:type="numbering" w:customStyle="1" w:styleId="Style2">
    <w:name w:val="Style2"/>
    <w:uiPriority w:val="99"/>
    <w:rsid w:val="003256EE"/>
    <w:pPr>
      <w:numPr>
        <w:numId w:val="8"/>
      </w:numPr>
    </w:pPr>
  </w:style>
  <w:style w:type="numbering" w:customStyle="1" w:styleId="Style3">
    <w:name w:val="Style3"/>
    <w:uiPriority w:val="99"/>
    <w:rsid w:val="003256EE"/>
    <w:pPr>
      <w:numPr>
        <w:numId w:val="9"/>
      </w:numPr>
    </w:pPr>
  </w:style>
  <w:style w:type="paragraph" w:customStyle="1" w:styleId="footnotedescription">
    <w:name w:val="footnote description"/>
    <w:next w:val="Normal"/>
    <w:link w:val="footnotedescriptionChar"/>
    <w:hidden/>
    <w:rsid w:val="00312557"/>
    <w:pPr>
      <w:widowControl/>
      <w:spacing w:line="253" w:lineRule="auto"/>
      <w:ind w:left="214" w:right="35" w:firstLine="142"/>
      <w:jc w:val="both"/>
    </w:pPr>
    <w:rPr>
      <w:rFonts w:ascii="Calibri" w:eastAsia="Calibri" w:hAnsi="Calibri" w:cs="Calibri"/>
      <w:color w:val="000000"/>
      <w:kern w:val="2"/>
      <w:sz w:val="20"/>
      <w:szCs w:val="24"/>
      <w:lang/>
      <w14:ligatures w14:val="standardContextual"/>
    </w:rPr>
  </w:style>
  <w:style w:type="character" w:customStyle="1" w:styleId="footnotedescriptionChar">
    <w:name w:val="footnote description Char"/>
    <w:link w:val="footnotedescription"/>
    <w:rsid w:val="00312557"/>
    <w:rPr>
      <w:rFonts w:ascii="Calibri" w:eastAsia="Calibri" w:hAnsi="Calibri" w:cs="Calibri"/>
      <w:color w:val="000000"/>
      <w:kern w:val="2"/>
      <w:sz w:val="20"/>
      <w:szCs w:val="24"/>
      <w:lang/>
      <w14:ligatures w14:val="standardContextual"/>
    </w:rPr>
  </w:style>
  <w:style w:type="character" w:customStyle="1" w:styleId="footnotemark">
    <w:name w:val="footnote mark"/>
    <w:hidden/>
    <w:rsid w:val="0031255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12557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Props1.xml><?xml version="1.0" encoding="utf-8"?>
<ds:datastoreItem xmlns:ds="http://schemas.openxmlformats.org/officeDocument/2006/customXml" ds:itemID="{3579DDDA-A6B9-4E80-B30A-73D82C542854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3318</Words>
  <Characters>17923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Maria do Céu</cp:lastModifiedBy>
  <cp:revision>2</cp:revision>
  <dcterms:created xsi:type="dcterms:W3CDTF">2025-12-02T18:29:00Z</dcterms:created>
  <dcterms:modified xsi:type="dcterms:W3CDTF">2025-12-02T18:29:00Z</dcterms:modified>
</cp:coreProperties>
</file>