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15DF8D4" w:rsidR="008C7AF1" w:rsidRDefault="008C7AF1" w:rsidP="00B622D4">
      <w:pPr>
        <w:widowControl w:val="0"/>
        <w:rPr>
          <w:lang w:val="pt-PT"/>
        </w:rPr>
      </w:pPr>
    </w:p>
    <w:p w14:paraId="3A8B1CA5" w14:textId="77777777" w:rsidR="008617BD" w:rsidRDefault="008617BD" w:rsidP="00B622D4">
      <w:pPr>
        <w:widowControl w:val="0"/>
        <w:rPr>
          <w:lang w:val="pt-PT"/>
        </w:rPr>
      </w:pPr>
    </w:p>
    <w:p w14:paraId="16B9B92C" w14:textId="77777777" w:rsidR="008617BD" w:rsidRDefault="008617BD" w:rsidP="00B622D4">
      <w:pPr>
        <w:widowControl w:val="0"/>
        <w:rPr>
          <w:lang w:val="pt-PT"/>
        </w:rPr>
      </w:pPr>
    </w:p>
    <w:p w14:paraId="00000002" w14:textId="0A8C74E2" w:rsidR="008C7AF1" w:rsidRPr="00F96C77" w:rsidRDefault="008C7AF1" w:rsidP="00E90CD1">
      <w:pPr>
        <w:widowControl w:val="0"/>
        <w:rPr>
          <w:b/>
          <w:bCs/>
          <w:lang w:val="pt-PT"/>
        </w:rPr>
      </w:pPr>
    </w:p>
    <w:p w14:paraId="30128703" w14:textId="77777777" w:rsidR="006D338B" w:rsidRPr="00F96C77" w:rsidRDefault="006D338B" w:rsidP="00F96C77">
      <w:pPr>
        <w:widowControl w:val="0"/>
        <w:jc w:val="center"/>
        <w:rPr>
          <w:rFonts w:asciiTheme="majorHAnsi" w:hAnsiTheme="majorHAnsi" w:cstheme="majorHAnsi"/>
          <w:b/>
          <w:bCs/>
          <w:sz w:val="24"/>
          <w:szCs w:val="24"/>
          <w:lang w:val="pt-PT"/>
        </w:rPr>
      </w:pPr>
      <w:r w:rsidRPr="00F96C77">
        <w:rPr>
          <w:rFonts w:asciiTheme="majorHAnsi" w:hAnsiTheme="majorHAnsi" w:cstheme="majorHAnsi"/>
          <w:b/>
          <w:bCs/>
          <w:sz w:val="24"/>
          <w:szCs w:val="24"/>
          <w:lang w:val="pt-PT"/>
        </w:rPr>
        <w:t xml:space="preserve">Titulação de </w:t>
      </w:r>
      <w:proofErr w:type="spellStart"/>
      <w:r w:rsidRPr="00F96C77">
        <w:rPr>
          <w:rFonts w:asciiTheme="majorHAnsi" w:hAnsiTheme="majorHAnsi" w:cstheme="majorHAnsi"/>
          <w:b/>
          <w:bCs/>
          <w:sz w:val="24"/>
          <w:szCs w:val="24"/>
          <w:lang w:val="pt-PT"/>
        </w:rPr>
        <w:t>subespecialista</w:t>
      </w:r>
      <w:proofErr w:type="spellEnd"/>
      <w:r w:rsidRPr="00F96C77">
        <w:rPr>
          <w:rFonts w:asciiTheme="majorHAnsi" w:hAnsiTheme="majorHAnsi" w:cstheme="majorHAnsi"/>
          <w:b/>
          <w:bCs/>
          <w:sz w:val="24"/>
          <w:szCs w:val="24"/>
          <w:lang w:val="pt-PT"/>
        </w:rPr>
        <w:t xml:space="preserve"> em Endocrinologia e Diabetologia Pediátrica</w:t>
      </w:r>
    </w:p>
    <w:p w14:paraId="0C8A1964" w14:textId="77777777" w:rsidR="006D338B" w:rsidRPr="00F96C77" w:rsidRDefault="006D338B" w:rsidP="00F96C77">
      <w:pPr>
        <w:widowControl w:val="0"/>
        <w:jc w:val="center"/>
        <w:rPr>
          <w:rFonts w:asciiTheme="majorHAnsi" w:hAnsiTheme="majorHAnsi" w:cstheme="majorHAnsi"/>
          <w:b/>
          <w:bCs/>
          <w:sz w:val="24"/>
          <w:szCs w:val="24"/>
          <w:lang w:val="pt-PT"/>
        </w:rPr>
      </w:pPr>
      <w:r w:rsidRPr="00F96C77">
        <w:rPr>
          <w:rFonts w:asciiTheme="majorHAnsi" w:hAnsiTheme="majorHAnsi" w:cstheme="majorHAnsi"/>
          <w:b/>
          <w:bCs/>
          <w:sz w:val="24"/>
          <w:szCs w:val="24"/>
          <w:lang w:val="pt-PT"/>
        </w:rPr>
        <w:t>(critérios de titulação por consenso)</w:t>
      </w:r>
    </w:p>
    <w:p w14:paraId="28FCC88D" w14:textId="77777777" w:rsidR="006D338B" w:rsidRPr="006D338B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</w:p>
    <w:p w14:paraId="1F8FADC4" w14:textId="3769A081" w:rsidR="006D338B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 xml:space="preserve">A titulação de </w:t>
      </w:r>
      <w:proofErr w:type="spellStart"/>
      <w:r w:rsidRPr="006D338B">
        <w:rPr>
          <w:rFonts w:asciiTheme="majorHAnsi" w:hAnsiTheme="majorHAnsi" w:cstheme="majorHAnsi"/>
          <w:sz w:val="24"/>
          <w:szCs w:val="24"/>
          <w:lang w:val="pt-PT"/>
        </w:rPr>
        <w:t>subespecialista</w:t>
      </w:r>
      <w:proofErr w:type="spellEnd"/>
      <w:r w:rsidRPr="006D338B">
        <w:rPr>
          <w:rFonts w:asciiTheme="majorHAnsi" w:hAnsiTheme="majorHAnsi" w:cstheme="majorHAnsi"/>
          <w:sz w:val="24"/>
          <w:szCs w:val="24"/>
          <w:lang w:val="pt-PT"/>
        </w:rPr>
        <w:t xml:space="preserve"> em Endocrinologia e Diabetologia Pediátrica, por consenso, deve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ser atribuída aos médicos com competência e experiência reconhecida em Endocrinologia e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Diabetologia Pediátrica, adquirida previamente à homologação da subespecialidade.</w:t>
      </w:r>
    </w:p>
    <w:p w14:paraId="182B930B" w14:textId="77777777" w:rsidR="00F96C77" w:rsidRPr="006D338B" w:rsidRDefault="00F96C77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</w:p>
    <w:p w14:paraId="6609ED53" w14:textId="77777777" w:rsidR="006D338B" w:rsidRPr="006826A9" w:rsidRDefault="006D338B" w:rsidP="006D338B">
      <w:pPr>
        <w:widowControl w:val="0"/>
        <w:jc w:val="both"/>
        <w:rPr>
          <w:rFonts w:asciiTheme="majorHAnsi" w:hAnsiTheme="majorHAnsi" w:cstheme="majorHAnsi"/>
          <w:b/>
          <w:bCs/>
          <w:sz w:val="24"/>
          <w:szCs w:val="24"/>
          <w:lang w:val="pt-PT"/>
        </w:rPr>
      </w:pPr>
      <w:r w:rsidRPr="006826A9">
        <w:rPr>
          <w:rFonts w:asciiTheme="majorHAnsi" w:hAnsiTheme="majorHAnsi" w:cstheme="majorHAnsi"/>
          <w:b/>
          <w:bCs/>
          <w:sz w:val="24"/>
          <w:szCs w:val="24"/>
          <w:lang w:val="pt-PT"/>
        </w:rPr>
        <w:t>Critérios de Admissão (exige os 2 requisitos):</w:t>
      </w:r>
    </w:p>
    <w:p w14:paraId="25E2810A" w14:textId="77777777" w:rsidR="006D338B" w:rsidRPr="006D338B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>1. Ter obtido o título de Especialidade em Pediatria ou Endocrinologia-Nutrição.</w:t>
      </w:r>
    </w:p>
    <w:p w14:paraId="34B26CC6" w14:textId="4D9D8C97" w:rsidR="006D338B" w:rsidRPr="006D338B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>2. Ter atividade continuada e preferencial em Áreas Hospitalares Diferenciadas (incluindo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Unidades de Endocrinologia e Diabetologia Pediátrica, e/ou Serviço de Endocrinologia, ou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Instituto Português de Oncologia) durante pelo menos 5 anos, e cumprindo pelo menos três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dos cinco seguintes itens:</w:t>
      </w:r>
    </w:p>
    <w:p w14:paraId="3C03C36B" w14:textId="77777777" w:rsidR="006D338B" w:rsidRPr="006D338B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>a) Efetuar consulta diferenciada de Endocrinologia e Diabetologia Pediátrica, realizando pelo</w:t>
      </w:r>
    </w:p>
    <w:p w14:paraId="1FDE3B26" w14:textId="62D2D8EE" w:rsidR="006D338B" w:rsidRPr="006D338B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>menos 80 primeiras consultas/ano e 620 subsequentes/ano em idade pediátrica (inferior a 18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anos) ou 20 primeiras consultas/ano e 40 subsequentes/ano na fase de Transição (18 a 25</w:t>
      </w:r>
    </w:p>
    <w:p w14:paraId="2B8FD0FC" w14:textId="77777777" w:rsidR="006D338B" w:rsidRPr="006D338B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>anos).</w:t>
      </w:r>
    </w:p>
    <w:p w14:paraId="0F192E38" w14:textId="77777777" w:rsidR="006D338B" w:rsidRPr="006D338B" w:rsidRDefault="006D338B" w:rsidP="00F96C77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>b) Experiência documentada no tratamento com Sistemas de Perfusão Subcutânea Contínua</w:t>
      </w:r>
    </w:p>
    <w:p w14:paraId="5884913E" w14:textId="1A95ADA7" w:rsidR="006D338B" w:rsidRPr="006D338B" w:rsidRDefault="006D338B" w:rsidP="00F96C77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>de Insulina, Sistemas de Administração Automática de Insulina e de Monitorização Contínua de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Glicose.</w:t>
      </w:r>
    </w:p>
    <w:p w14:paraId="03AF667A" w14:textId="20B3B879" w:rsidR="006D338B" w:rsidRPr="006D338B" w:rsidRDefault="006D338B" w:rsidP="00F96C77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>c) Experiência documentada em terapêuticas hormonais, tais como hormona de crescimento,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 xml:space="preserve">análogos de </w:t>
      </w:r>
      <w:proofErr w:type="spellStart"/>
      <w:r w:rsidRPr="006D338B">
        <w:rPr>
          <w:rFonts w:asciiTheme="majorHAnsi" w:hAnsiTheme="majorHAnsi" w:cstheme="majorHAnsi"/>
          <w:sz w:val="24"/>
          <w:szCs w:val="24"/>
          <w:lang w:val="pt-PT"/>
        </w:rPr>
        <w:t>GnRH</w:t>
      </w:r>
      <w:proofErr w:type="spellEnd"/>
      <w:r w:rsidRPr="006D338B">
        <w:rPr>
          <w:rFonts w:asciiTheme="majorHAnsi" w:hAnsiTheme="majorHAnsi" w:cstheme="majorHAnsi"/>
          <w:sz w:val="24"/>
          <w:szCs w:val="24"/>
          <w:lang w:val="pt-PT"/>
        </w:rPr>
        <w:t xml:space="preserve">, </w:t>
      </w:r>
      <w:proofErr w:type="spellStart"/>
      <w:r w:rsidRPr="006D338B">
        <w:rPr>
          <w:rFonts w:asciiTheme="majorHAnsi" w:hAnsiTheme="majorHAnsi" w:cstheme="majorHAnsi"/>
          <w:sz w:val="24"/>
          <w:szCs w:val="24"/>
          <w:lang w:val="pt-PT"/>
        </w:rPr>
        <w:t>anti-tiroideus</w:t>
      </w:r>
      <w:proofErr w:type="spellEnd"/>
      <w:r w:rsidRPr="006D338B">
        <w:rPr>
          <w:rFonts w:asciiTheme="majorHAnsi" w:hAnsiTheme="majorHAnsi" w:cstheme="majorHAnsi"/>
          <w:sz w:val="24"/>
          <w:szCs w:val="24"/>
          <w:lang w:val="pt-PT"/>
        </w:rPr>
        <w:t xml:space="preserve"> de síntese, </w:t>
      </w:r>
      <w:proofErr w:type="spellStart"/>
      <w:r w:rsidRPr="006D338B">
        <w:rPr>
          <w:rFonts w:asciiTheme="majorHAnsi" w:hAnsiTheme="majorHAnsi" w:cstheme="majorHAnsi"/>
          <w:sz w:val="24"/>
          <w:szCs w:val="24"/>
          <w:lang w:val="pt-PT"/>
        </w:rPr>
        <w:t>ligandos</w:t>
      </w:r>
      <w:proofErr w:type="spellEnd"/>
      <w:r w:rsidRPr="006D338B">
        <w:rPr>
          <w:rFonts w:asciiTheme="majorHAnsi" w:hAnsiTheme="majorHAnsi" w:cstheme="majorHAnsi"/>
          <w:sz w:val="24"/>
          <w:szCs w:val="24"/>
          <w:lang w:val="pt-PT"/>
        </w:rPr>
        <w:t xml:space="preserve"> do </w:t>
      </w:r>
      <w:proofErr w:type="spellStart"/>
      <w:r w:rsidRPr="006D338B">
        <w:rPr>
          <w:rFonts w:asciiTheme="majorHAnsi" w:hAnsiTheme="majorHAnsi" w:cstheme="majorHAnsi"/>
          <w:sz w:val="24"/>
          <w:szCs w:val="24"/>
          <w:lang w:val="pt-PT"/>
        </w:rPr>
        <w:t>receptor</w:t>
      </w:r>
      <w:proofErr w:type="spellEnd"/>
      <w:r w:rsidRPr="006D338B">
        <w:rPr>
          <w:rFonts w:asciiTheme="majorHAnsi" w:hAnsiTheme="majorHAnsi" w:cstheme="majorHAnsi"/>
          <w:sz w:val="24"/>
          <w:szCs w:val="24"/>
          <w:lang w:val="pt-PT"/>
        </w:rPr>
        <w:t xml:space="preserve"> da somatostatina,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 xml:space="preserve">glicocorticoide e </w:t>
      </w:r>
      <w:proofErr w:type="spellStart"/>
      <w:r w:rsidRPr="006D338B">
        <w:rPr>
          <w:rFonts w:asciiTheme="majorHAnsi" w:hAnsiTheme="majorHAnsi" w:cstheme="majorHAnsi"/>
          <w:sz w:val="24"/>
          <w:szCs w:val="24"/>
          <w:lang w:val="pt-PT"/>
        </w:rPr>
        <w:t>mineralocorticoide</w:t>
      </w:r>
      <w:proofErr w:type="spellEnd"/>
      <w:r w:rsidRPr="006D338B">
        <w:rPr>
          <w:rFonts w:asciiTheme="majorHAnsi" w:hAnsiTheme="majorHAnsi" w:cstheme="majorHAnsi"/>
          <w:sz w:val="24"/>
          <w:szCs w:val="24"/>
          <w:lang w:val="pt-PT"/>
        </w:rPr>
        <w:t>, bem como na realização e interpretação de testes de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avaliação endócrina.</w:t>
      </w:r>
    </w:p>
    <w:p w14:paraId="0A5AB84E" w14:textId="2CE80CBD" w:rsidR="006D338B" w:rsidRPr="006D338B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>d) Ter atividade regular de investigação clínica aplicada na área de Endocrinologia e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Diabetologia Pediátrica e/ou Fase de Transição nos últimos 10 anos, com publicações e/ou</w:t>
      </w:r>
    </w:p>
    <w:p w14:paraId="555D3751" w14:textId="77777777" w:rsidR="006D338B" w:rsidRPr="006D338B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>comunicações em reuniões nacionais ou internacionais.</w:t>
      </w:r>
    </w:p>
    <w:p w14:paraId="08E041C0" w14:textId="1B5CF72D" w:rsidR="006D338B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>e) Ter participação em Sociedades, Comissões e/ou Grupos de Trabalho na área da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Endocrinologia e Diabetologia Pediátrica.</w:t>
      </w:r>
    </w:p>
    <w:p w14:paraId="71638EC1" w14:textId="77777777" w:rsidR="00F96C77" w:rsidRPr="006D338B" w:rsidRDefault="00F96C77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</w:p>
    <w:p w14:paraId="1E1BD613" w14:textId="7DCA11A3" w:rsidR="00F96C77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>Estes requisitos devem estar adequadamente documentados, com a especificação da atividade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clínica desenvolvida nos últimos 5 anos em Endocrinologia e Diabetologia Pediátrica e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Transição (Consulta Externa, Hospital de Dia, Internamento, Técnicas executadas e/ou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desenvolvidas) e dos trabalhos científicos apresentados e/ou publicados nos 10 anos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anteriores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 xml:space="preserve"> à 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data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 xml:space="preserve"> de 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 xml:space="preserve">entrega 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da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 xml:space="preserve"> candidatura. 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Os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 xml:space="preserve"> contributos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 xml:space="preserve"> para 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 xml:space="preserve">a 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 xml:space="preserve">implementação 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e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 </w:t>
      </w:r>
    </w:p>
    <w:p w14:paraId="1D8F8CCE" w14:textId="77777777" w:rsidR="00F96C77" w:rsidRDefault="00F96C77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</w:p>
    <w:p w14:paraId="15D202ED" w14:textId="77777777" w:rsidR="00F96C77" w:rsidRDefault="00F96C77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</w:p>
    <w:p w14:paraId="51F74600" w14:textId="77777777" w:rsidR="00F96C77" w:rsidRDefault="00F96C77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</w:p>
    <w:p w14:paraId="7CE17DC1" w14:textId="77777777" w:rsidR="00F96C77" w:rsidRDefault="00F96C77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</w:p>
    <w:p w14:paraId="7AEC5EF7" w14:textId="77777777" w:rsidR="00F96C77" w:rsidRDefault="00F96C77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</w:p>
    <w:p w14:paraId="0CC72A3C" w14:textId="77777777" w:rsidR="00F96C77" w:rsidRDefault="00F96C77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</w:p>
    <w:p w14:paraId="56154946" w14:textId="590415DA" w:rsidR="006D338B" w:rsidRPr="006D338B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>desenvolvimento da subespecialidade devem ser especificados, nomeadamente experiência</w:t>
      </w:r>
    </w:p>
    <w:p w14:paraId="09A8DCDF" w14:textId="77777777" w:rsidR="006D338B" w:rsidRPr="006D338B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>organizativa, cargos desempenhados ou atividades formativas desenvolvidas.</w:t>
      </w:r>
    </w:p>
    <w:p w14:paraId="1A105F75" w14:textId="77777777" w:rsidR="00722785" w:rsidRDefault="00722785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</w:p>
    <w:p w14:paraId="48C0F173" w14:textId="45D867BC" w:rsidR="006D338B" w:rsidRPr="006D338B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 xml:space="preserve">O título de </w:t>
      </w:r>
      <w:proofErr w:type="spellStart"/>
      <w:r w:rsidRPr="006D338B">
        <w:rPr>
          <w:rFonts w:asciiTheme="majorHAnsi" w:hAnsiTheme="majorHAnsi" w:cstheme="majorHAnsi"/>
          <w:sz w:val="24"/>
          <w:szCs w:val="24"/>
          <w:lang w:val="pt-PT"/>
        </w:rPr>
        <w:t>subespecialista</w:t>
      </w:r>
      <w:proofErr w:type="spellEnd"/>
      <w:r w:rsidRPr="006D338B">
        <w:rPr>
          <w:rFonts w:asciiTheme="majorHAnsi" w:hAnsiTheme="majorHAnsi" w:cstheme="majorHAnsi"/>
          <w:sz w:val="24"/>
          <w:szCs w:val="24"/>
          <w:lang w:val="pt-PT"/>
        </w:rPr>
        <w:t xml:space="preserve"> em Endocrinologia e Diabetologia Pediátrica poderá ainda ser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concedido aos médicos que, após adquirirem a especialidade de Pediatria ou de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Endocrinologia, tenham trabalhado em Áreas Hospitalares Diferenciadas/Unidades de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Endocrinologia Pediátrica ou Serviços de Endocrinologia: i) por um período mínimo de 24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meses desde que neste período esteja incluída a formação num Ciclo de Estudos Especiais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 xml:space="preserve">publicado em Diário da República e que tenham tido aproveitamento em prova pública; </w:t>
      </w:r>
      <w:proofErr w:type="spellStart"/>
      <w:r w:rsidRPr="006D338B">
        <w:rPr>
          <w:rFonts w:asciiTheme="majorHAnsi" w:hAnsiTheme="majorHAnsi" w:cstheme="majorHAnsi"/>
          <w:sz w:val="24"/>
          <w:szCs w:val="24"/>
          <w:lang w:val="pt-PT"/>
        </w:rPr>
        <w:t>ii</w:t>
      </w:r>
      <w:proofErr w:type="spellEnd"/>
      <w:r w:rsidRPr="006D338B">
        <w:rPr>
          <w:rFonts w:asciiTheme="majorHAnsi" w:hAnsiTheme="majorHAnsi" w:cstheme="majorHAnsi"/>
          <w:sz w:val="24"/>
          <w:szCs w:val="24"/>
          <w:lang w:val="pt-PT"/>
        </w:rPr>
        <w:t>) ou</w:t>
      </w:r>
    </w:p>
    <w:p w14:paraId="4EF03E2B" w14:textId="1494CC43" w:rsidR="006D338B" w:rsidRPr="006D338B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>ter atividade continuada na fase de Transição em Endocrinologia e Diabetologia por um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período mínimo de 24 meses.</w:t>
      </w:r>
    </w:p>
    <w:p w14:paraId="0DD54B98" w14:textId="77777777" w:rsidR="00F96C77" w:rsidRDefault="00F96C77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</w:p>
    <w:p w14:paraId="718DEA2F" w14:textId="2B6CF3E4" w:rsidR="006D338B" w:rsidRPr="006D338B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>Aos candidatos é fornecida a grelha segundo a qual será feita a avaliação.</w:t>
      </w:r>
    </w:p>
    <w:p w14:paraId="6DA0A070" w14:textId="0878CB40" w:rsidR="006D338B" w:rsidRPr="006D338B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>Considera-se apto o candidato, cumprindo os dois requisitos exigidos, obtenha a classificação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final mínima de 10 valores na grelha de avaliação.</w:t>
      </w:r>
    </w:p>
    <w:p w14:paraId="09280AF0" w14:textId="77777777" w:rsidR="00F96C77" w:rsidRDefault="00F96C77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</w:p>
    <w:p w14:paraId="5F779A28" w14:textId="77777777" w:rsidR="00722785" w:rsidRDefault="00722785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</w:p>
    <w:p w14:paraId="4637E5E5" w14:textId="1D19FDBD" w:rsidR="006D338B" w:rsidRPr="00F96C77" w:rsidRDefault="006D338B" w:rsidP="006D338B">
      <w:pPr>
        <w:widowControl w:val="0"/>
        <w:jc w:val="both"/>
        <w:rPr>
          <w:rFonts w:asciiTheme="majorHAnsi" w:hAnsiTheme="majorHAnsi" w:cstheme="majorHAnsi"/>
          <w:b/>
          <w:bCs/>
          <w:sz w:val="24"/>
          <w:szCs w:val="24"/>
          <w:lang w:val="pt-PT"/>
        </w:rPr>
      </w:pPr>
      <w:r w:rsidRPr="00F96C77">
        <w:rPr>
          <w:rFonts w:asciiTheme="majorHAnsi" w:hAnsiTheme="majorHAnsi" w:cstheme="majorHAnsi"/>
          <w:b/>
          <w:bCs/>
          <w:sz w:val="24"/>
          <w:szCs w:val="24"/>
          <w:lang w:val="pt-PT"/>
        </w:rPr>
        <w:t>Para o Processo de Candidatura é necessário:</w:t>
      </w:r>
    </w:p>
    <w:p w14:paraId="39C91022" w14:textId="6BE49BCA" w:rsidR="006D338B" w:rsidRPr="006D338B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>- Preencher o requerimento de admissão dirigido ao Conselho Nacional da Ordem dos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Médicos.</w:t>
      </w:r>
    </w:p>
    <w:p w14:paraId="717CC9D5" w14:textId="77777777" w:rsidR="006D338B" w:rsidRPr="006D338B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 xml:space="preserve">- Entregar um documento curricular não ultrapassando 10 páginas (letra </w:t>
      </w:r>
      <w:proofErr w:type="spellStart"/>
      <w:r w:rsidRPr="006D338B">
        <w:rPr>
          <w:rFonts w:asciiTheme="majorHAnsi" w:hAnsiTheme="majorHAnsi" w:cstheme="majorHAnsi"/>
          <w:sz w:val="24"/>
          <w:szCs w:val="24"/>
          <w:lang w:val="pt-PT"/>
        </w:rPr>
        <w:t>Arial</w:t>
      </w:r>
      <w:proofErr w:type="spellEnd"/>
      <w:r w:rsidRPr="006D338B">
        <w:rPr>
          <w:rFonts w:asciiTheme="majorHAnsi" w:hAnsiTheme="majorHAnsi" w:cstheme="majorHAnsi"/>
          <w:sz w:val="24"/>
          <w:szCs w:val="24"/>
          <w:lang w:val="pt-PT"/>
        </w:rPr>
        <w:t xml:space="preserve"> 12, espaço 1,5</w:t>
      </w:r>
    </w:p>
    <w:p w14:paraId="5B57D648" w14:textId="77777777" w:rsidR="006D338B" w:rsidRPr="006D338B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>entre linhas) em formato digital, de acordo com os critérios atrás definidos.</w:t>
      </w:r>
    </w:p>
    <w:p w14:paraId="301E433E" w14:textId="041DBD40" w:rsidR="006D338B" w:rsidRPr="006D338B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>As candidaturas serão avaliadas pela Comissão Instaladora da Subespecialidade de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Endocrinologia e Diabetologia Pediátrica (nomeada pela Ordem dos Médicos e pelos Colégios</w:t>
      </w:r>
    </w:p>
    <w:p w14:paraId="14065F58" w14:textId="77777777" w:rsidR="006D338B" w:rsidRPr="006D338B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>de Especialidade de Pediatria e Endocrinologia-Nutrição).</w:t>
      </w:r>
    </w:p>
    <w:p w14:paraId="548C131A" w14:textId="58F9E246" w:rsidR="00E90CD1" w:rsidRPr="006D338B" w:rsidRDefault="006D338B" w:rsidP="006D338B">
      <w:pPr>
        <w:widowControl w:val="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6D338B">
        <w:rPr>
          <w:rFonts w:asciiTheme="majorHAnsi" w:hAnsiTheme="majorHAnsi" w:cstheme="majorHAnsi"/>
          <w:sz w:val="24"/>
          <w:szCs w:val="24"/>
          <w:lang w:val="pt-PT"/>
        </w:rPr>
        <w:t>Este processo estará aberto durante um período de transição de 180 dias após a publicação do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Concurso para Admissão por Consenso à Subespecialidade de Endocrinologia e Diabetologia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Pediátrica, período a partir do qual o critério de admissão à subespecialidade terá por base o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programa de formação definido no Regulamento da Subespecialidade, sob a orientação do</w:t>
      </w:r>
      <w:r w:rsidR="00F96C77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  <w:r w:rsidRPr="006D338B">
        <w:rPr>
          <w:rFonts w:asciiTheme="majorHAnsi" w:hAnsiTheme="majorHAnsi" w:cstheme="majorHAnsi"/>
          <w:sz w:val="24"/>
          <w:szCs w:val="24"/>
          <w:lang w:val="pt-PT"/>
        </w:rPr>
        <w:t>futuro Colégio de Subespecialidade.</w:t>
      </w:r>
    </w:p>
    <w:sectPr w:rsidR="00E90CD1" w:rsidRPr="006D338B" w:rsidSect="00B622D4">
      <w:headerReference w:type="default" r:id="rId8"/>
      <w:pgSz w:w="11906" w:h="16838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7140" w14:textId="77777777" w:rsidR="00415DA2" w:rsidRDefault="00415DA2">
      <w:pPr>
        <w:spacing w:line="240" w:lineRule="auto"/>
      </w:pPr>
      <w:r>
        <w:separator/>
      </w:r>
    </w:p>
  </w:endnote>
  <w:endnote w:type="continuationSeparator" w:id="0">
    <w:p w14:paraId="5571A572" w14:textId="77777777" w:rsidR="00415DA2" w:rsidRDefault="00415D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989E3" w14:textId="77777777" w:rsidR="00415DA2" w:rsidRDefault="00415DA2">
      <w:pPr>
        <w:spacing w:line="240" w:lineRule="auto"/>
      </w:pPr>
      <w:r>
        <w:separator/>
      </w:r>
    </w:p>
  </w:footnote>
  <w:footnote w:type="continuationSeparator" w:id="0">
    <w:p w14:paraId="3925D720" w14:textId="77777777" w:rsidR="00415DA2" w:rsidRDefault="00415D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6" w14:textId="77777777" w:rsidR="008C7AF1" w:rsidRDefault="00000000">
    <w:r>
      <w:pict w14:anchorId="0D6A01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72.5pt;margin-top:-72.55pt;width:596.35pt;height:843.15pt;z-index:-251658752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591B"/>
    <w:multiLevelType w:val="hybridMultilevel"/>
    <w:tmpl w:val="41280F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924FF"/>
    <w:multiLevelType w:val="hybridMultilevel"/>
    <w:tmpl w:val="104CB85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E25161"/>
    <w:multiLevelType w:val="hybridMultilevel"/>
    <w:tmpl w:val="AA227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40601"/>
    <w:multiLevelType w:val="hybridMultilevel"/>
    <w:tmpl w:val="2E60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964F1"/>
    <w:multiLevelType w:val="hybridMultilevel"/>
    <w:tmpl w:val="A0324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F1697"/>
    <w:multiLevelType w:val="multilevel"/>
    <w:tmpl w:val="ADD42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C13D6E"/>
    <w:multiLevelType w:val="hybridMultilevel"/>
    <w:tmpl w:val="1C3C99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605DB"/>
    <w:multiLevelType w:val="hybridMultilevel"/>
    <w:tmpl w:val="83EC8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914C4"/>
    <w:multiLevelType w:val="hybridMultilevel"/>
    <w:tmpl w:val="9DA0A1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C18BB"/>
    <w:multiLevelType w:val="hybridMultilevel"/>
    <w:tmpl w:val="FB6AD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86770"/>
    <w:multiLevelType w:val="hybridMultilevel"/>
    <w:tmpl w:val="702CC9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905932">
    <w:abstractNumId w:val="6"/>
  </w:num>
  <w:num w:numId="2" w16cid:durableId="1199008713">
    <w:abstractNumId w:val="7"/>
  </w:num>
  <w:num w:numId="3" w16cid:durableId="1498106350">
    <w:abstractNumId w:val="3"/>
  </w:num>
  <w:num w:numId="4" w16cid:durableId="1455172139">
    <w:abstractNumId w:val="10"/>
  </w:num>
  <w:num w:numId="5" w16cid:durableId="1178039483">
    <w:abstractNumId w:val="8"/>
  </w:num>
  <w:num w:numId="6" w16cid:durableId="838080765">
    <w:abstractNumId w:val="2"/>
  </w:num>
  <w:num w:numId="7" w16cid:durableId="1523856585">
    <w:abstractNumId w:val="0"/>
  </w:num>
  <w:num w:numId="8" w16cid:durableId="1923178379">
    <w:abstractNumId w:val="1"/>
  </w:num>
  <w:num w:numId="9" w16cid:durableId="161627875">
    <w:abstractNumId w:val="9"/>
  </w:num>
  <w:num w:numId="10" w16cid:durableId="1887332583">
    <w:abstractNumId w:val="4"/>
  </w:num>
  <w:num w:numId="11" w16cid:durableId="1912962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F1"/>
    <w:rsid w:val="000A6877"/>
    <w:rsid w:val="001427FD"/>
    <w:rsid w:val="001B685D"/>
    <w:rsid w:val="001C0783"/>
    <w:rsid w:val="002B6524"/>
    <w:rsid w:val="0031150E"/>
    <w:rsid w:val="00321D81"/>
    <w:rsid w:val="00404E1A"/>
    <w:rsid w:val="00415DA2"/>
    <w:rsid w:val="0043725D"/>
    <w:rsid w:val="004910DB"/>
    <w:rsid w:val="005B74BE"/>
    <w:rsid w:val="005D3F6B"/>
    <w:rsid w:val="00646568"/>
    <w:rsid w:val="006826A9"/>
    <w:rsid w:val="00695366"/>
    <w:rsid w:val="006A31D2"/>
    <w:rsid w:val="006D338B"/>
    <w:rsid w:val="00722785"/>
    <w:rsid w:val="00773A6D"/>
    <w:rsid w:val="0077465B"/>
    <w:rsid w:val="008617BD"/>
    <w:rsid w:val="008C7AF1"/>
    <w:rsid w:val="00A55656"/>
    <w:rsid w:val="00B356C2"/>
    <w:rsid w:val="00B622D4"/>
    <w:rsid w:val="00D722F8"/>
    <w:rsid w:val="00D735EF"/>
    <w:rsid w:val="00DE2D9E"/>
    <w:rsid w:val="00E90CD1"/>
    <w:rsid w:val="00E94072"/>
    <w:rsid w:val="00F2204B"/>
    <w:rsid w:val="00F9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2A743"/>
  <w15:docId w15:val="{6063C036-5BA7-447E-B7E1-88089641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5B74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PT" w:eastAsia="en-US"/>
      <w14:ligatures w14:val="standardContextual"/>
    </w:rPr>
  </w:style>
  <w:style w:type="table" w:styleId="TabelacomGrelha">
    <w:name w:val="Table Grid"/>
    <w:basedOn w:val="Tabelanormal"/>
    <w:uiPriority w:val="39"/>
    <w:rsid w:val="005B74BE"/>
    <w:pPr>
      <w:spacing w:line="240" w:lineRule="auto"/>
    </w:pPr>
    <w:rPr>
      <w:rFonts w:asciiTheme="minorHAnsi" w:eastAsiaTheme="minorHAnsi" w:hAnsiTheme="minorHAnsi" w:cstheme="minorBidi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90CD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90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E3094-63BD-4828-81AA-630973AD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672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Gomes</cp:lastModifiedBy>
  <cp:revision>3</cp:revision>
  <cp:lastPrinted>2026-05-04T16:24:00Z</cp:lastPrinted>
  <dcterms:created xsi:type="dcterms:W3CDTF">2026-05-22T10:18:00Z</dcterms:created>
  <dcterms:modified xsi:type="dcterms:W3CDTF">2026-06-02T17:40:00Z</dcterms:modified>
</cp:coreProperties>
</file>