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73EE3" w14:textId="77777777" w:rsidR="00BF4450" w:rsidRPr="00E27B08" w:rsidRDefault="00BF4450" w:rsidP="00BF4450">
      <w:pPr>
        <w:spacing w:after="0" w:line="360" w:lineRule="auto"/>
        <w:jc w:val="center"/>
        <w:rPr>
          <w:rFonts w:ascii="Times New Roman" w:hAnsi="Times New Roman" w:cs="Times New Roman"/>
          <w:b/>
          <w:color w:val="9A7200"/>
          <w:sz w:val="16"/>
          <w:szCs w:val="16"/>
        </w:rPr>
      </w:pPr>
    </w:p>
    <w:p w14:paraId="7274753C" w14:textId="77777777" w:rsidR="00BF4450" w:rsidRPr="00556147" w:rsidRDefault="00BF4450" w:rsidP="00BF4450">
      <w:pPr>
        <w:spacing w:after="0" w:line="360" w:lineRule="auto"/>
        <w:jc w:val="center"/>
        <w:rPr>
          <w:rFonts w:ascii="Zilla Slab" w:hAnsi="Zilla Slab"/>
          <w:b/>
          <w:bCs/>
          <w:color w:val="00B0F0"/>
          <w:kern w:val="2"/>
          <w:sz w:val="52"/>
          <w:szCs w:val="52"/>
          <w14:ligatures w14:val="standardContextual"/>
        </w:rPr>
      </w:pPr>
      <w:r w:rsidRPr="00556147">
        <w:rPr>
          <w:rFonts w:ascii="Zilla Slab" w:hAnsi="Zilla Slab"/>
          <w:b/>
          <w:bCs/>
          <w:color w:val="00B0F0"/>
          <w:kern w:val="2"/>
          <w:sz w:val="52"/>
          <w:szCs w:val="52"/>
          <w14:ligatures w14:val="standardContextual"/>
        </w:rPr>
        <w:t>Colégio de G</w:t>
      </w:r>
      <w:r w:rsidR="00E27B08" w:rsidRPr="00556147">
        <w:rPr>
          <w:rFonts w:ascii="Zilla Slab" w:hAnsi="Zilla Slab"/>
          <w:b/>
          <w:bCs/>
          <w:color w:val="00B0F0"/>
          <w:kern w:val="2"/>
          <w:sz w:val="52"/>
          <w:szCs w:val="52"/>
          <w14:ligatures w14:val="standardContextual"/>
        </w:rPr>
        <w:t>inecologia/Obstetrícia</w:t>
      </w:r>
    </w:p>
    <w:p w14:paraId="2549F34C" w14:textId="77777777" w:rsidR="00556147" w:rsidRDefault="00556147" w:rsidP="00556147">
      <w:pPr>
        <w:spacing w:after="0" w:line="240" w:lineRule="auto"/>
        <w:rPr>
          <w:rFonts w:ascii="Work Sans" w:hAnsi="Work Sans"/>
          <w:kern w:val="2"/>
          <w:sz w:val="26"/>
          <w:szCs w:val="26"/>
          <w14:ligatures w14:val="standardContextual"/>
        </w:rPr>
      </w:pPr>
    </w:p>
    <w:p w14:paraId="78C278C7" w14:textId="3D4543E1" w:rsidR="00BF4450" w:rsidRPr="00556147" w:rsidRDefault="00290C61" w:rsidP="00556147">
      <w:pPr>
        <w:spacing w:after="0" w:line="240" w:lineRule="auto"/>
        <w:rPr>
          <w:rFonts w:ascii="Work Sans" w:hAnsi="Work Sans"/>
          <w:kern w:val="2"/>
          <w:sz w:val="26"/>
          <w:szCs w:val="26"/>
          <w14:ligatures w14:val="standardContextual"/>
        </w:rPr>
      </w:pPr>
      <w:r w:rsidRPr="00556147">
        <w:rPr>
          <w:rFonts w:ascii="Work Sans" w:hAnsi="Work Sans"/>
          <w:kern w:val="2"/>
          <w:sz w:val="26"/>
          <w:szCs w:val="26"/>
          <w14:ligatures w14:val="standardContextual"/>
        </w:rPr>
        <w:t>Regulamento da Comissão da Prova Prática da Avaliação Final do</w:t>
      </w:r>
    </w:p>
    <w:p w14:paraId="25F23219" w14:textId="019B48D2" w:rsidR="00290C61" w:rsidRPr="00556147" w:rsidRDefault="00290C61" w:rsidP="00556147">
      <w:pPr>
        <w:spacing w:after="0" w:line="240" w:lineRule="auto"/>
        <w:rPr>
          <w:rFonts w:ascii="Work Sans" w:hAnsi="Work Sans"/>
          <w:kern w:val="2"/>
          <w:sz w:val="26"/>
          <w:szCs w:val="26"/>
          <w14:ligatures w14:val="standardContextual"/>
        </w:rPr>
      </w:pPr>
      <w:r w:rsidRPr="00556147">
        <w:rPr>
          <w:rFonts w:ascii="Work Sans" w:hAnsi="Work Sans"/>
          <w:kern w:val="2"/>
          <w:sz w:val="26"/>
          <w:szCs w:val="26"/>
          <w14:ligatures w14:val="standardContextual"/>
        </w:rPr>
        <w:t>Internato Médico de Ginecologia-Obstetrícia</w:t>
      </w:r>
    </w:p>
    <w:p w14:paraId="3FB4FCE7" w14:textId="1D56ED5B" w:rsidR="00290C61" w:rsidRDefault="00290C61" w:rsidP="00290C61">
      <w:pPr>
        <w:spacing w:after="0" w:line="360" w:lineRule="auto"/>
        <w:rPr>
          <w:rFonts w:ascii="Times New Roman" w:hAnsi="Times New Roman" w:cs="Times New Roman"/>
          <w:b/>
          <w:color w:val="9A7200"/>
          <w:sz w:val="28"/>
        </w:rPr>
      </w:pPr>
    </w:p>
    <w:p w14:paraId="686D0CE2"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O Internato Médico constitui um período de formação médica pós-graduada, teórica e prática, que tem por objetivo habilitar o médico ao exercício autónomo da medicina e ao exercício tecnicamente diferenciado numa determinada área de especialização, com a atribuição do correspondente grau de especialista, cujo Regime Jurídico é definido pelo Decreto-Lei nº 13/2018, de 26 de fevereiro, alterado, por apreciação parlamentar, pela Lei nº 34/2018, de 19 de julho, e pelo Regulamento do Internato Médico, aprovado pela Portaria nº 79/2018, de 16 de março. </w:t>
      </w:r>
    </w:p>
    <w:p w14:paraId="3A9431C3" w14:textId="77777777" w:rsidR="00290C61" w:rsidRPr="00556147" w:rsidRDefault="00290C61" w:rsidP="00C66EE3">
      <w:pPr>
        <w:spacing w:after="120" w:line="360" w:lineRule="auto"/>
        <w:jc w:val="both"/>
        <w:rPr>
          <w:rFonts w:ascii="Work Sans" w:hAnsi="Work Sans"/>
          <w:sz w:val="6"/>
          <w:szCs w:val="6"/>
        </w:rPr>
      </w:pPr>
    </w:p>
    <w:p w14:paraId="6245E2C0"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A conclusão da Formação Especializada do Internato Médico, pressupõe a realização, com aproveitamento, das provas públicas</w:t>
      </w:r>
      <w:r w:rsidRPr="00556147">
        <w:rPr>
          <w:rFonts w:ascii="Work Sans" w:hAnsi="Work Sans"/>
          <w:color w:val="FF0000"/>
          <w:sz w:val="20"/>
          <w:szCs w:val="20"/>
        </w:rPr>
        <w:t xml:space="preserve"> </w:t>
      </w:r>
      <w:r w:rsidRPr="00556147">
        <w:rPr>
          <w:rFonts w:ascii="Work Sans" w:hAnsi="Work Sans"/>
          <w:sz w:val="20"/>
          <w:szCs w:val="20"/>
        </w:rPr>
        <w:t xml:space="preserve">e eliminatórias que compõem a Avaliação Final de cada época: prova de discussão curricular, prova prática e prova teórica, em conformidade com o Regulamento do Internato Médico, tendo presentes as especificidades constantes do programa formativo de cada área de especialização, aprovado nos termos da lei. </w:t>
      </w:r>
    </w:p>
    <w:p w14:paraId="2E18C295" w14:textId="77777777" w:rsidR="00290C61" w:rsidRPr="00556147" w:rsidRDefault="00290C61" w:rsidP="00C66EE3">
      <w:pPr>
        <w:spacing w:after="120" w:line="360" w:lineRule="auto"/>
        <w:jc w:val="both"/>
        <w:rPr>
          <w:rFonts w:ascii="Work Sans" w:hAnsi="Work Sans"/>
          <w:sz w:val="6"/>
          <w:szCs w:val="6"/>
        </w:rPr>
      </w:pPr>
    </w:p>
    <w:p w14:paraId="06ED9803" w14:textId="77777777" w:rsidR="00290C61" w:rsidRPr="00556147" w:rsidRDefault="00290C61" w:rsidP="00C66EE3">
      <w:pPr>
        <w:spacing w:after="120" w:line="360" w:lineRule="auto"/>
        <w:jc w:val="both"/>
        <w:rPr>
          <w:rFonts w:ascii="Work Sans" w:hAnsi="Work Sans" w:cstheme="minorHAnsi"/>
          <w:sz w:val="20"/>
          <w:szCs w:val="20"/>
        </w:rPr>
      </w:pPr>
      <w:r w:rsidRPr="00556147">
        <w:rPr>
          <w:rFonts w:ascii="Work Sans" w:hAnsi="Work Sans"/>
          <w:sz w:val="20"/>
          <w:szCs w:val="20"/>
        </w:rPr>
        <w:t xml:space="preserve">De acordo com a Portaria nº244/2021 de 9 de novembro que atualiza o programa formativo da área de especialização de Ginecologia-Obstetrícia, na Avaliação Final, a prova prática, </w:t>
      </w:r>
      <w:r w:rsidRPr="00556147">
        <w:rPr>
          <w:rFonts w:ascii="Work Sans" w:eastAsia="Times New Roman" w:hAnsi="Work Sans" w:cstheme="minorHAnsi"/>
          <w:sz w:val="20"/>
          <w:szCs w:val="20"/>
          <w:lang w:eastAsia="pt-PT"/>
        </w:rPr>
        <w:t>inclui, sempre que possível, recurso a modelos de simulação.</w:t>
      </w:r>
    </w:p>
    <w:p w14:paraId="63ED624F" w14:textId="77777777" w:rsidR="00290C61" w:rsidRPr="00556147" w:rsidRDefault="00290C61" w:rsidP="00C66EE3">
      <w:pPr>
        <w:spacing w:after="120" w:line="360" w:lineRule="auto"/>
        <w:jc w:val="both"/>
        <w:rPr>
          <w:rFonts w:ascii="Work Sans" w:hAnsi="Work Sans"/>
          <w:sz w:val="6"/>
          <w:szCs w:val="6"/>
        </w:rPr>
      </w:pPr>
    </w:p>
    <w:p w14:paraId="24E16BE2"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Assim, face à necessidade de aprovar e publicar os instrumentos de apoio à implementação de uma prova prática com base em cenários de simulação, enquanto prova componente da Avaliação Final, em conformidade com os artigos 52º, 64º, 65º, e 73º, nº 3, todos do Regulamento do Internato Médico, e com o ponto 4.2.2 do programa formativo de Ginecologia-Obstetrícia, revisto e aprovado pela Portaria nº 244/2021, de 9 de novembro, é elaborado o presente Regulamento.</w:t>
      </w:r>
    </w:p>
    <w:p w14:paraId="6F6BA663" w14:textId="609952E7" w:rsidR="00556147" w:rsidRDefault="00556147" w:rsidP="00C66EE3">
      <w:pPr>
        <w:spacing w:after="120" w:line="360" w:lineRule="auto"/>
        <w:rPr>
          <w:rFonts w:ascii="Work Sans" w:hAnsi="Work Sans"/>
          <w:sz w:val="20"/>
          <w:szCs w:val="20"/>
        </w:rPr>
      </w:pPr>
      <w:r>
        <w:rPr>
          <w:rFonts w:ascii="Work Sans" w:hAnsi="Work Sans"/>
          <w:sz w:val="20"/>
          <w:szCs w:val="20"/>
        </w:rPr>
        <w:br w:type="page"/>
      </w:r>
    </w:p>
    <w:p w14:paraId="1E1C0693" w14:textId="544D4874" w:rsidR="00290C61" w:rsidRPr="00556147" w:rsidRDefault="00C66EE3" w:rsidP="00C66EE3">
      <w:pPr>
        <w:spacing w:after="120" w:line="360" w:lineRule="auto"/>
        <w:jc w:val="center"/>
        <w:rPr>
          <w:rFonts w:ascii="Work Sans" w:hAnsi="Work Sans"/>
          <w:b/>
          <w:sz w:val="20"/>
          <w:szCs w:val="20"/>
        </w:rPr>
      </w:pPr>
      <w:r w:rsidRPr="00556147">
        <w:rPr>
          <w:rFonts w:ascii="Work Sans" w:hAnsi="Work Sans"/>
          <w:b/>
          <w:sz w:val="20"/>
          <w:szCs w:val="20"/>
        </w:rPr>
        <w:lastRenderedPageBreak/>
        <w:t>Capítulo</w:t>
      </w:r>
      <w:r w:rsidR="00290C61" w:rsidRPr="00556147">
        <w:rPr>
          <w:rFonts w:ascii="Work Sans" w:hAnsi="Work Sans"/>
          <w:b/>
          <w:sz w:val="20"/>
          <w:szCs w:val="20"/>
        </w:rPr>
        <w:t xml:space="preserve"> I - Objeto e conceitos</w:t>
      </w:r>
    </w:p>
    <w:p w14:paraId="5EC66FE9" w14:textId="2D39E0E3" w:rsidR="00290C61" w:rsidRPr="00C66EE3" w:rsidRDefault="00290C61" w:rsidP="00C66EE3">
      <w:pPr>
        <w:spacing w:after="120" w:line="360" w:lineRule="auto"/>
        <w:jc w:val="center"/>
        <w:rPr>
          <w:rFonts w:ascii="Work Sans" w:hAnsi="Work Sans"/>
          <w:b/>
          <w:sz w:val="20"/>
          <w:szCs w:val="20"/>
        </w:rPr>
      </w:pPr>
      <w:r w:rsidRPr="00556147">
        <w:rPr>
          <w:rFonts w:ascii="Work Sans" w:hAnsi="Work Sans"/>
          <w:b/>
          <w:sz w:val="20"/>
          <w:szCs w:val="20"/>
        </w:rPr>
        <w:t>Artigo 1º Objeto</w:t>
      </w:r>
    </w:p>
    <w:p w14:paraId="7DC014EF"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1. O presente regulamento estabelece regras de nomeação, composição e funcionamento da Comissão responsável pela prova prática, tal como previsto no programa de formação da área de especialização de Ginecologia-Obstetrícia (doravante, GO), revisto e publicado pela Portaria nº 244/2021, de 9 de novembro. </w:t>
      </w:r>
    </w:p>
    <w:p w14:paraId="4CF0061E" w14:textId="77777777" w:rsidR="00290C61" w:rsidRPr="00556147" w:rsidRDefault="00290C61" w:rsidP="00C66EE3">
      <w:pPr>
        <w:spacing w:after="120" w:line="360" w:lineRule="auto"/>
        <w:jc w:val="both"/>
        <w:rPr>
          <w:rFonts w:ascii="Work Sans" w:hAnsi="Work Sans"/>
          <w:sz w:val="20"/>
          <w:szCs w:val="20"/>
        </w:rPr>
      </w:pPr>
    </w:p>
    <w:p w14:paraId="1857EA21" w14:textId="6BC1A0AD" w:rsidR="00290C61" w:rsidRPr="00C66EE3" w:rsidRDefault="00290C61" w:rsidP="00C66EE3">
      <w:pPr>
        <w:spacing w:after="120" w:line="360" w:lineRule="auto"/>
        <w:jc w:val="center"/>
        <w:rPr>
          <w:rFonts w:ascii="Work Sans" w:hAnsi="Work Sans"/>
          <w:b/>
          <w:sz w:val="20"/>
          <w:szCs w:val="20"/>
        </w:rPr>
      </w:pPr>
      <w:r w:rsidRPr="00556147">
        <w:rPr>
          <w:rFonts w:ascii="Work Sans" w:hAnsi="Work Sans"/>
          <w:b/>
          <w:sz w:val="20"/>
          <w:szCs w:val="20"/>
        </w:rPr>
        <w:t>Artigo 2º Conceitos</w:t>
      </w:r>
    </w:p>
    <w:p w14:paraId="7FBDC462"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1. Para efeitos do disposto no presente Regulamento, entende-se por: </w:t>
      </w:r>
    </w:p>
    <w:p w14:paraId="2E23DFFC"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a)  Prova nacional prática: A prova prática realizada no âmbito da avaliação final da Formação Especializada em GO; </w:t>
      </w:r>
    </w:p>
    <w:p w14:paraId="31548E1B"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b)  Avaliação final: O conjunto de provas públicas e eliminatórias que visam atribuir uma classificação, numa escala de 0 a 20 valores com centésimas, refletindo o resultado de todo o processo formativo e avaliado os conhecimentos, aptidões adquiridas e atitudes reveladas pelo médico interno durante a sua Formação Especializada, tal como previsto no Regulamento do Internato Médico, aprovado em anexo à Portaria nº 79/2018, de 16 de março; </w:t>
      </w:r>
    </w:p>
    <w:p w14:paraId="13DC6732"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c)  Comissão da prova nacional prática: O órgão colegial responsável pela elaboração e </w:t>
      </w:r>
      <w:r w:rsidRPr="00556147">
        <w:rPr>
          <w:rFonts w:ascii="Work Sans" w:hAnsi="Work Sans"/>
          <w:color w:val="000000"/>
          <w:sz w:val="20"/>
          <w:szCs w:val="20"/>
        </w:rPr>
        <w:t xml:space="preserve">implementação da </w:t>
      </w:r>
      <w:r w:rsidRPr="00556147">
        <w:rPr>
          <w:rFonts w:ascii="Work Sans" w:hAnsi="Work Sans"/>
          <w:sz w:val="20"/>
          <w:szCs w:val="20"/>
        </w:rPr>
        <w:t>prova prática definida na alínea a) do presente artigo.</w:t>
      </w:r>
    </w:p>
    <w:p w14:paraId="096FA449" w14:textId="77777777" w:rsidR="00290C61" w:rsidRPr="00556147" w:rsidRDefault="00290C61" w:rsidP="00C66EE3">
      <w:pPr>
        <w:spacing w:after="120" w:line="360" w:lineRule="auto"/>
        <w:jc w:val="both"/>
        <w:rPr>
          <w:rFonts w:ascii="Work Sans" w:hAnsi="Work Sans"/>
          <w:sz w:val="20"/>
          <w:szCs w:val="20"/>
        </w:rPr>
      </w:pPr>
    </w:p>
    <w:p w14:paraId="1AFE4410" w14:textId="77777777" w:rsidR="00290C61" w:rsidRPr="00556147" w:rsidRDefault="00290C61" w:rsidP="00C66EE3">
      <w:pPr>
        <w:spacing w:after="120" w:line="360" w:lineRule="auto"/>
        <w:jc w:val="center"/>
        <w:rPr>
          <w:rFonts w:ascii="Work Sans" w:hAnsi="Work Sans"/>
          <w:b/>
          <w:sz w:val="20"/>
          <w:szCs w:val="20"/>
        </w:rPr>
      </w:pPr>
      <w:r w:rsidRPr="00556147">
        <w:rPr>
          <w:rFonts w:ascii="Work Sans" w:hAnsi="Work Sans"/>
          <w:b/>
          <w:sz w:val="20"/>
          <w:szCs w:val="20"/>
        </w:rPr>
        <w:t>Capítulo II – Comissão da prova nacional prática</w:t>
      </w:r>
    </w:p>
    <w:p w14:paraId="270EFC3A" w14:textId="6B5A881C" w:rsidR="00290C61" w:rsidRPr="00C66EE3" w:rsidRDefault="00290C61" w:rsidP="00C66EE3">
      <w:pPr>
        <w:spacing w:after="120" w:line="360" w:lineRule="auto"/>
        <w:jc w:val="center"/>
        <w:rPr>
          <w:rFonts w:ascii="Work Sans" w:hAnsi="Work Sans"/>
          <w:b/>
          <w:sz w:val="20"/>
          <w:szCs w:val="20"/>
        </w:rPr>
      </w:pPr>
      <w:r w:rsidRPr="00556147">
        <w:rPr>
          <w:rFonts w:ascii="Work Sans" w:hAnsi="Work Sans"/>
          <w:b/>
          <w:sz w:val="20"/>
          <w:szCs w:val="20"/>
        </w:rPr>
        <w:t xml:space="preserve">Artigo 3º Natureza e </w:t>
      </w:r>
      <w:r w:rsidR="00C66EE3" w:rsidRPr="00556147">
        <w:rPr>
          <w:rFonts w:ascii="Work Sans" w:hAnsi="Work Sans"/>
          <w:b/>
          <w:sz w:val="20"/>
          <w:szCs w:val="20"/>
        </w:rPr>
        <w:t>composição</w:t>
      </w:r>
    </w:p>
    <w:p w14:paraId="04EF114B"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1. A Comissão da prova nacional prática, doravante designada por Comissão, é um órgão técnico que funciona em estreita colaboração com o Colégio da Especialidade de GO da Ordem dos Médicos, cabendo-lhe preparar os cenários da prova, grelha de avaliação de cada cenário, a respetiva chave de respostas, analisar os meios de impugnação graciosa e apurar, por candidato, a classificação obtida na prova nacional prática. </w:t>
      </w:r>
    </w:p>
    <w:p w14:paraId="62772404" w14:textId="77777777" w:rsidR="00290C61" w:rsidRPr="00556147" w:rsidRDefault="00290C61" w:rsidP="00C66EE3">
      <w:pPr>
        <w:spacing w:after="120" w:line="360" w:lineRule="auto"/>
        <w:jc w:val="both"/>
        <w:rPr>
          <w:rFonts w:ascii="Work Sans" w:hAnsi="Work Sans"/>
          <w:sz w:val="6"/>
          <w:szCs w:val="6"/>
        </w:rPr>
      </w:pPr>
    </w:p>
    <w:p w14:paraId="0FAD8905"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2. </w:t>
      </w:r>
      <w:r w:rsidRPr="00556147">
        <w:rPr>
          <w:rFonts w:ascii="Work Sans" w:hAnsi="Work Sans"/>
          <w:color w:val="000000" w:themeColor="text1"/>
          <w:sz w:val="20"/>
          <w:szCs w:val="20"/>
        </w:rPr>
        <w:t xml:space="preserve">A Comissão é Coordenada pelo Presidente do Colégio da Especialidade de GO e é composta </w:t>
      </w:r>
      <w:r w:rsidRPr="00556147">
        <w:rPr>
          <w:rFonts w:ascii="Work Sans" w:hAnsi="Work Sans"/>
          <w:sz w:val="20"/>
          <w:szCs w:val="20"/>
        </w:rPr>
        <w:t>por dois grupos de trabalho com distintas funções:</w:t>
      </w:r>
    </w:p>
    <w:p w14:paraId="0F6E36F2"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lastRenderedPageBreak/>
        <w:t xml:space="preserve">a) Grupo Funcional da Comissão que integra os seguintes elementos: Presidente do Colégio da Especialidade de GO; Presidente da Federação das Sociedades Portuguesas de GO (FSPOG); Representante do Colégio da Especialidade de GO no </w:t>
      </w:r>
      <w:r w:rsidRPr="00556147">
        <w:rPr>
          <w:rFonts w:ascii="Work Sans" w:hAnsi="Work Sans"/>
          <w:i/>
          <w:sz w:val="20"/>
          <w:szCs w:val="20"/>
        </w:rPr>
        <w:t>European Board and College Of Obstetrics and Gynaecology</w:t>
      </w:r>
      <w:r w:rsidRPr="00556147">
        <w:rPr>
          <w:rFonts w:ascii="Work Sans" w:hAnsi="Work Sans"/>
          <w:sz w:val="20"/>
          <w:szCs w:val="20"/>
        </w:rPr>
        <w:t xml:space="preserve"> (EBCOG); especialista em GO indicado pelo Presidente da </w:t>
      </w:r>
      <w:r w:rsidRPr="00556147">
        <w:rPr>
          <w:rFonts w:ascii="Work Sans" w:hAnsi="Work Sans"/>
          <w:i/>
          <w:sz w:val="20"/>
          <w:szCs w:val="20"/>
        </w:rPr>
        <w:t>Portuguese Network of Trainees in Obstetrics and Gynaecology</w:t>
      </w:r>
      <w:r w:rsidRPr="00556147">
        <w:rPr>
          <w:rFonts w:ascii="Work Sans" w:hAnsi="Work Sans"/>
          <w:sz w:val="20"/>
          <w:szCs w:val="20"/>
        </w:rPr>
        <w:t xml:space="preserve"> (PoNTOG), que tenha pertencido a anteriores direções. Os Presidentes referidos nesta alínea poderão delegar competências para representação neste grupo de trabalho noutros membros da direção das respetivas organizações.</w:t>
      </w:r>
    </w:p>
    <w:p w14:paraId="08EFACBB" w14:textId="470B31CE" w:rsidR="00290C61" w:rsidRPr="00C66EE3"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b) Grupo Técnico da Comissão que inclui sete membros efetivos e dois suplentes indicados pelo Colégio da Especialidade de GO. </w:t>
      </w:r>
    </w:p>
    <w:p w14:paraId="51874C49" w14:textId="13827951" w:rsidR="00290C61" w:rsidRPr="00C66EE3" w:rsidRDefault="00290C61" w:rsidP="00C66EE3">
      <w:pPr>
        <w:pBdr>
          <w:top w:val="nil"/>
          <w:left w:val="nil"/>
          <w:bottom w:val="nil"/>
          <w:right w:val="nil"/>
          <w:between w:val="nil"/>
        </w:pBdr>
        <w:spacing w:after="120" w:line="360" w:lineRule="auto"/>
        <w:jc w:val="both"/>
        <w:rPr>
          <w:rFonts w:ascii="Work Sans" w:hAnsi="Work Sans"/>
          <w:color w:val="000000"/>
          <w:sz w:val="20"/>
          <w:szCs w:val="20"/>
        </w:rPr>
      </w:pPr>
      <w:r w:rsidRPr="00556147">
        <w:rPr>
          <w:rFonts w:ascii="Work Sans" w:hAnsi="Work Sans"/>
          <w:color w:val="000000"/>
          <w:sz w:val="20"/>
          <w:szCs w:val="20"/>
        </w:rPr>
        <w:t xml:space="preserve">3. Os membros da Comissão são nomeados para um mandato de três anos, renovável. </w:t>
      </w:r>
    </w:p>
    <w:p w14:paraId="16D7D4AA" w14:textId="0F74C4DD" w:rsidR="00290C61" w:rsidRPr="00C66EE3" w:rsidRDefault="00AD1918" w:rsidP="00C66EE3">
      <w:pPr>
        <w:spacing w:after="120" w:line="360" w:lineRule="auto"/>
        <w:jc w:val="both"/>
        <w:rPr>
          <w:rFonts w:ascii="Work Sans" w:hAnsi="Work Sans"/>
          <w:sz w:val="20"/>
          <w:szCs w:val="20"/>
        </w:rPr>
      </w:pPr>
      <w:sdt>
        <w:sdtPr>
          <w:rPr>
            <w:rFonts w:ascii="Work Sans" w:hAnsi="Work Sans"/>
            <w:sz w:val="20"/>
            <w:szCs w:val="20"/>
          </w:rPr>
          <w:tag w:val="goog_rdk_0"/>
          <w:id w:val="-888799218"/>
        </w:sdtPr>
        <w:sdtEndPr/>
        <w:sdtContent/>
      </w:sdt>
      <w:r w:rsidR="00290C61" w:rsidRPr="00556147">
        <w:rPr>
          <w:rFonts w:ascii="Work Sans" w:hAnsi="Work Sans"/>
          <w:sz w:val="20"/>
          <w:szCs w:val="20"/>
        </w:rPr>
        <w:t>4. O Grupo Funcional é Coordenado pelo Presidente do Colégio da Especialidade de GO que, por sua vez, nomeia o Coordenador do Grupo Técnico.</w:t>
      </w:r>
    </w:p>
    <w:p w14:paraId="710631D5"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5. A Comissão poderá ter a contribuição de Centros de Simulação nacionais certificados, para a preparação dos cenários, nomeadamente através da cedência de utilização de equipamentos e de instalações.</w:t>
      </w:r>
    </w:p>
    <w:p w14:paraId="15B29B70" w14:textId="77777777" w:rsidR="00290C61" w:rsidRPr="00556147" w:rsidRDefault="00290C61" w:rsidP="00C66EE3">
      <w:pPr>
        <w:spacing w:after="120" w:line="360" w:lineRule="auto"/>
        <w:jc w:val="both"/>
        <w:rPr>
          <w:rFonts w:ascii="Work Sans" w:hAnsi="Work Sans"/>
          <w:sz w:val="20"/>
          <w:szCs w:val="20"/>
        </w:rPr>
      </w:pPr>
    </w:p>
    <w:p w14:paraId="0001D043" w14:textId="77777777" w:rsidR="00290C61" w:rsidRPr="00556147" w:rsidRDefault="00290C61" w:rsidP="00C66EE3">
      <w:pPr>
        <w:spacing w:after="120" w:line="360" w:lineRule="auto"/>
        <w:jc w:val="center"/>
        <w:rPr>
          <w:rFonts w:ascii="Work Sans" w:hAnsi="Work Sans"/>
          <w:b/>
          <w:sz w:val="20"/>
          <w:szCs w:val="20"/>
        </w:rPr>
      </w:pPr>
      <w:r w:rsidRPr="00556147">
        <w:rPr>
          <w:rFonts w:ascii="Work Sans" w:hAnsi="Work Sans"/>
          <w:b/>
          <w:sz w:val="20"/>
          <w:szCs w:val="20"/>
        </w:rPr>
        <w:t>Artigo 4º Funcionamento da Comissão</w:t>
      </w:r>
    </w:p>
    <w:p w14:paraId="609F5322" w14:textId="77777777" w:rsidR="00290C61" w:rsidRPr="00556147" w:rsidRDefault="00290C61" w:rsidP="00C66EE3">
      <w:pPr>
        <w:spacing w:after="120" w:line="360" w:lineRule="auto"/>
        <w:jc w:val="center"/>
        <w:rPr>
          <w:rFonts w:ascii="Work Sans" w:hAnsi="Work Sans"/>
          <w:sz w:val="6"/>
          <w:szCs w:val="6"/>
        </w:rPr>
      </w:pPr>
    </w:p>
    <w:p w14:paraId="08D25F13" w14:textId="0DB0FAC0" w:rsidR="00290C61" w:rsidRPr="00C66EE3"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1. A Comissão reúne nas instalações da Ordem dos Médicos, podendo reunir noutros locais, por indicação dos seus Coordenadores, sem prejuízo do recurso a meios eletrónicos de comunicação à distância. </w:t>
      </w:r>
    </w:p>
    <w:p w14:paraId="5CD02E4C" w14:textId="59904E85" w:rsidR="00290C61" w:rsidRPr="00C66EE3"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2. A Comissão reúne em sessão plenária com um mínimo de seis dos seus membros efetivos, sem prejuízo da reunião dos grupos de trabalho para a realização de tarefas específicas. </w:t>
      </w:r>
    </w:p>
    <w:p w14:paraId="712D5FE2" w14:textId="10213C0E" w:rsidR="00290C61" w:rsidRPr="00C66EE3"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3. Compete aos Coordenadores dos Grupos de trabalho convocar os restantes elementos para reunir com a frequência necessária ao desempenho das suas funções. </w:t>
      </w:r>
    </w:p>
    <w:p w14:paraId="3BEB8BE4" w14:textId="67AC9A05" w:rsidR="00556147"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4. O Coordenador do Grupo Funcional pode convidar outros médicos especialistas, nomeadamente, os que integram os Centros de Simulação, referidos no ponto 5 do artigo 3º, a colaborarem com a Comissão, para prestar aconselhamento </w:t>
      </w:r>
      <w:proofErr w:type="spellStart"/>
      <w:r w:rsidRPr="00556147">
        <w:rPr>
          <w:rFonts w:ascii="Work Sans" w:hAnsi="Work Sans"/>
          <w:sz w:val="20"/>
          <w:szCs w:val="20"/>
        </w:rPr>
        <w:t>técnico</w:t>
      </w:r>
      <w:proofErr w:type="spellEnd"/>
      <w:r w:rsidRPr="00556147">
        <w:rPr>
          <w:rFonts w:ascii="Work Sans" w:hAnsi="Work Sans"/>
          <w:sz w:val="20"/>
          <w:szCs w:val="20"/>
        </w:rPr>
        <w:t>.</w:t>
      </w:r>
    </w:p>
    <w:p w14:paraId="4A523877" w14:textId="1F7F09ED"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5. As decisões da Comissão são tomadas por maioria simples, tendo o seu Coordenador voto de qualidade em caso de empate. </w:t>
      </w:r>
    </w:p>
    <w:p w14:paraId="582959D1" w14:textId="639D923F"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lastRenderedPageBreak/>
        <w:t xml:space="preserve">6. A Ordem dos Médicos e a Administração Central do Sistema de Saúde (doravante, ACSS, I. P.), proporcionam à Comissão a logística e o apoio administrativo, informático e jurídico necessário a um eficiente desempenho das suas funções. </w:t>
      </w:r>
    </w:p>
    <w:p w14:paraId="456778F9"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7. Ao funcionamento da Comissão, serão aplicáveis, a título subsidiário, as normas do Código do Procedimento Administrativo. </w:t>
      </w:r>
    </w:p>
    <w:p w14:paraId="2D98BE54" w14:textId="77777777" w:rsidR="00290C61" w:rsidRPr="00556147" w:rsidRDefault="00290C61" w:rsidP="00C66EE3">
      <w:pPr>
        <w:spacing w:after="120" w:line="360" w:lineRule="auto"/>
        <w:jc w:val="both"/>
        <w:rPr>
          <w:rFonts w:ascii="Work Sans" w:hAnsi="Work Sans"/>
          <w:b/>
          <w:sz w:val="20"/>
          <w:szCs w:val="20"/>
        </w:rPr>
      </w:pPr>
    </w:p>
    <w:p w14:paraId="57CA5622" w14:textId="77777777" w:rsidR="00290C61" w:rsidRPr="00556147" w:rsidRDefault="00AD1918" w:rsidP="00C66EE3">
      <w:pPr>
        <w:spacing w:after="120" w:line="360" w:lineRule="auto"/>
        <w:jc w:val="center"/>
        <w:rPr>
          <w:rFonts w:ascii="Work Sans" w:hAnsi="Work Sans"/>
          <w:b/>
          <w:sz w:val="20"/>
          <w:szCs w:val="20"/>
        </w:rPr>
      </w:pPr>
      <w:sdt>
        <w:sdtPr>
          <w:rPr>
            <w:rFonts w:ascii="Work Sans" w:hAnsi="Work Sans"/>
            <w:sz w:val="20"/>
            <w:szCs w:val="20"/>
          </w:rPr>
          <w:tag w:val="goog_rdk_1"/>
          <w:id w:val="-2144261940"/>
        </w:sdtPr>
        <w:sdtEndPr/>
        <w:sdtContent/>
      </w:sdt>
      <w:r w:rsidR="00290C61" w:rsidRPr="00556147">
        <w:rPr>
          <w:rFonts w:ascii="Work Sans" w:hAnsi="Work Sans"/>
          <w:b/>
          <w:sz w:val="20"/>
          <w:szCs w:val="20"/>
        </w:rPr>
        <w:t>Artigo 5º Competências e deveres da Comissão</w:t>
      </w:r>
    </w:p>
    <w:p w14:paraId="08574A58" w14:textId="77777777" w:rsidR="00290C61" w:rsidRPr="00556147" w:rsidRDefault="00290C61" w:rsidP="00C66EE3">
      <w:pPr>
        <w:spacing w:after="120" w:line="360" w:lineRule="auto"/>
        <w:jc w:val="center"/>
        <w:rPr>
          <w:rFonts w:ascii="Work Sans" w:hAnsi="Work Sans"/>
          <w:sz w:val="6"/>
          <w:szCs w:val="6"/>
        </w:rPr>
      </w:pPr>
    </w:p>
    <w:p w14:paraId="006AEC31" w14:textId="07AEF7C9" w:rsidR="00290C61" w:rsidRPr="00C66EE3" w:rsidRDefault="00290C61" w:rsidP="00C66EE3">
      <w:pPr>
        <w:numPr>
          <w:ilvl w:val="0"/>
          <w:numId w:val="1"/>
        </w:numPr>
        <w:pBdr>
          <w:top w:val="nil"/>
          <w:left w:val="nil"/>
          <w:bottom w:val="nil"/>
          <w:right w:val="nil"/>
          <w:between w:val="nil"/>
        </w:pBdr>
        <w:spacing w:after="120" w:line="360" w:lineRule="auto"/>
        <w:jc w:val="both"/>
        <w:rPr>
          <w:rFonts w:ascii="Work Sans" w:hAnsi="Work Sans"/>
          <w:color w:val="000000"/>
          <w:sz w:val="20"/>
          <w:szCs w:val="20"/>
        </w:rPr>
      </w:pPr>
      <w:r w:rsidRPr="00556147">
        <w:rPr>
          <w:rFonts w:ascii="Work Sans" w:hAnsi="Work Sans"/>
          <w:color w:val="000000"/>
          <w:sz w:val="20"/>
          <w:szCs w:val="20"/>
        </w:rPr>
        <w:t xml:space="preserve">À Comissão compete, nomeadamente: </w:t>
      </w:r>
    </w:p>
    <w:p w14:paraId="20F3CB53" w14:textId="77777777" w:rsidR="00290C61" w:rsidRPr="00556147" w:rsidRDefault="00290C61" w:rsidP="00C66EE3">
      <w:pPr>
        <w:numPr>
          <w:ilvl w:val="1"/>
          <w:numId w:val="1"/>
        </w:numPr>
        <w:pBdr>
          <w:top w:val="nil"/>
          <w:left w:val="nil"/>
          <w:bottom w:val="nil"/>
          <w:right w:val="nil"/>
          <w:between w:val="nil"/>
        </w:pBdr>
        <w:spacing w:after="120" w:line="360" w:lineRule="auto"/>
        <w:jc w:val="both"/>
        <w:rPr>
          <w:rFonts w:ascii="Work Sans" w:hAnsi="Work Sans"/>
          <w:color w:val="000000"/>
          <w:sz w:val="20"/>
          <w:szCs w:val="20"/>
        </w:rPr>
      </w:pPr>
      <w:r w:rsidRPr="00556147">
        <w:rPr>
          <w:rFonts w:ascii="Work Sans" w:hAnsi="Work Sans"/>
          <w:color w:val="000000"/>
          <w:sz w:val="20"/>
          <w:szCs w:val="20"/>
        </w:rPr>
        <w:t>Ao Grupo Funcional:</w:t>
      </w:r>
    </w:p>
    <w:p w14:paraId="43CBF97C" w14:textId="77777777" w:rsidR="00290C61" w:rsidRPr="00556147" w:rsidRDefault="00290C61" w:rsidP="00C66EE3">
      <w:pPr>
        <w:spacing w:after="120" w:line="360" w:lineRule="auto"/>
        <w:rPr>
          <w:rFonts w:ascii="Work Sans" w:hAnsi="Work Sans"/>
          <w:sz w:val="20"/>
          <w:szCs w:val="20"/>
        </w:rPr>
      </w:pPr>
      <w:r w:rsidRPr="00556147">
        <w:rPr>
          <w:rFonts w:ascii="Work Sans" w:hAnsi="Work Sans"/>
          <w:sz w:val="20"/>
          <w:szCs w:val="20"/>
        </w:rPr>
        <w:t xml:space="preserve">a)  Validar os cenários de simulação propostos pelo grupo técnico e as respetivas grelhas de avaliação; </w:t>
      </w:r>
    </w:p>
    <w:p w14:paraId="032ED039"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b)  Indicar a bibliografia por temas e atualizar essa informação de dois em dois anos; </w:t>
      </w:r>
    </w:p>
    <w:p w14:paraId="35F6BF20"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c)  Validar as decisões de alteração à chave provisória de resposta; </w:t>
      </w:r>
    </w:p>
    <w:p w14:paraId="560EECBE"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d) Analisar e decidir sobre as impugnações e contestações;</w:t>
      </w:r>
    </w:p>
    <w:p w14:paraId="46587A0F" w14:textId="5E648301" w:rsidR="00290C61" w:rsidRPr="00C66EE3"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e)  Apresentar propostas de alteração ao presente regulamento. </w:t>
      </w:r>
    </w:p>
    <w:p w14:paraId="4B4F6F56" w14:textId="77777777" w:rsidR="00290C61" w:rsidRPr="00556147" w:rsidRDefault="00290C61" w:rsidP="00C66EE3">
      <w:pPr>
        <w:numPr>
          <w:ilvl w:val="1"/>
          <w:numId w:val="1"/>
        </w:numPr>
        <w:pBdr>
          <w:top w:val="nil"/>
          <w:left w:val="nil"/>
          <w:bottom w:val="nil"/>
          <w:right w:val="nil"/>
          <w:between w:val="nil"/>
        </w:pBdr>
        <w:spacing w:after="120" w:line="360" w:lineRule="auto"/>
        <w:jc w:val="both"/>
        <w:rPr>
          <w:rFonts w:ascii="Work Sans" w:hAnsi="Work Sans"/>
          <w:color w:val="000000"/>
          <w:sz w:val="20"/>
          <w:szCs w:val="20"/>
        </w:rPr>
      </w:pPr>
      <w:r w:rsidRPr="00556147">
        <w:rPr>
          <w:rFonts w:ascii="Work Sans" w:hAnsi="Work Sans"/>
          <w:color w:val="000000"/>
          <w:sz w:val="20"/>
          <w:szCs w:val="20"/>
        </w:rPr>
        <w:t>Ao Grupo Técnico:</w:t>
      </w:r>
    </w:p>
    <w:p w14:paraId="416F0092"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a)  Elaborar os cenários de simulação e as respetivas grelhas de avaliação, nas suas versões provisória e definitiva; </w:t>
      </w:r>
    </w:p>
    <w:p w14:paraId="5A75C212"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b)  Desenvolver os meios necessários de apoio à realização da prova, com a participação das entidades e órgãos envolvidos na gestão do Internato Médico; </w:t>
      </w:r>
    </w:p>
    <w:p w14:paraId="72A30EFE"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c)  Avaliar e decidir sobre os pedidos de alteração à chave provisória de resposta; </w:t>
      </w:r>
    </w:p>
    <w:p w14:paraId="74831A09"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d)  Elaborar a chave final, apurar a classificação final de cada médico interno avaliado e dar dela conhecimento aos Júris da Avaliação Final em curso; </w:t>
      </w:r>
    </w:p>
    <w:p w14:paraId="39960AC2" w14:textId="5102A4EA" w:rsidR="00290C61" w:rsidRPr="00C66EE3" w:rsidRDefault="00290C61" w:rsidP="00C66EE3">
      <w:pPr>
        <w:spacing w:after="120" w:line="360" w:lineRule="auto"/>
        <w:jc w:val="both"/>
        <w:rPr>
          <w:rFonts w:ascii="Work Sans" w:hAnsi="Work Sans"/>
          <w:sz w:val="20"/>
          <w:szCs w:val="20"/>
        </w:rPr>
      </w:pPr>
      <w:r w:rsidRPr="00556147">
        <w:rPr>
          <w:rFonts w:ascii="Work Sans" w:hAnsi="Work Sans"/>
          <w:sz w:val="20"/>
          <w:szCs w:val="20"/>
        </w:rPr>
        <w:t>e)  Elaborar um relatório final acerca de cada prova realizada e dar dele conhecimento ao Grupo Funcional que o remeterá ao Conselho Nacional da OM e ao Conselho Nacional do Internato Médico</w:t>
      </w:r>
      <w:sdt>
        <w:sdtPr>
          <w:rPr>
            <w:rFonts w:ascii="Work Sans" w:hAnsi="Work Sans"/>
            <w:sz w:val="20"/>
            <w:szCs w:val="20"/>
          </w:rPr>
          <w:tag w:val="goog_rdk_2"/>
          <w:id w:val="-1254119664"/>
        </w:sdtPr>
        <w:sdtEndPr/>
        <w:sdtContent>
          <w:r w:rsidRPr="00556147">
            <w:rPr>
              <w:rFonts w:ascii="Work Sans" w:hAnsi="Work Sans"/>
              <w:sz w:val="20"/>
              <w:szCs w:val="20"/>
            </w:rPr>
            <w:t xml:space="preserve"> (doravante, CNIM)</w:t>
          </w:r>
        </w:sdtContent>
      </w:sdt>
      <w:r w:rsidRPr="00556147">
        <w:rPr>
          <w:rFonts w:ascii="Work Sans" w:hAnsi="Work Sans"/>
          <w:sz w:val="20"/>
          <w:szCs w:val="20"/>
        </w:rPr>
        <w:t xml:space="preserve">; </w:t>
      </w:r>
    </w:p>
    <w:p w14:paraId="4C279416"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 xml:space="preserve">2. A Comissão tem o dever de: </w:t>
      </w:r>
    </w:p>
    <w:p w14:paraId="2568E124" w14:textId="77777777" w:rsidR="00290C61" w:rsidRPr="00556147" w:rsidRDefault="00290C61" w:rsidP="00C66EE3">
      <w:pPr>
        <w:spacing w:after="120" w:line="360" w:lineRule="auto"/>
        <w:jc w:val="both"/>
        <w:rPr>
          <w:rFonts w:ascii="Work Sans" w:hAnsi="Work Sans"/>
          <w:color w:val="000000" w:themeColor="text1"/>
          <w:sz w:val="20"/>
          <w:szCs w:val="20"/>
        </w:rPr>
      </w:pPr>
      <w:r w:rsidRPr="00556147">
        <w:rPr>
          <w:rFonts w:ascii="Work Sans" w:hAnsi="Work Sans"/>
          <w:color w:val="000000" w:themeColor="text1"/>
          <w:sz w:val="20"/>
          <w:szCs w:val="20"/>
        </w:rPr>
        <w:t>a) Elaborar o Regulamento da prova final;</w:t>
      </w:r>
    </w:p>
    <w:p w14:paraId="4391F10D" w14:textId="77777777" w:rsidR="00290C61" w:rsidRPr="00556147" w:rsidRDefault="00290C61" w:rsidP="00C66EE3">
      <w:pPr>
        <w:spacing w:after="120" w:line="360" w:lineRule="auto"/>
        <w:jc w:val="both"/>
        <w:rPr>
          <w:rFonts w:ascii="Work Sans" w:hAnsi="Work Sans"/>
          <w:color w:val="000000" w:themeColor="text1"/>
          <w:sz w:val="20"/>
          <w:szCs w:val="20"/>
        </w:rPr>
      </w:pPr>
      <w:r w:rsidRPr="00556147">
        <w:rPr>
          <w:rFonts w:ascii="Work Sans" w:hAnsi="Work Sans"/>
          <w:color w:val="000000" w:themeColor="text1"/>
          <w:sz w:val="20"/>
          <w:szCs w:val="20"/>
        </w:rPr>
        <w:lastRenderedPageBreak/>
        <w:t xml:space="preserve">b)  Assegurar a confidencialidade da prova; </w:t>
      </w:r>
    </w:p>
    <w:p w14:paraId="50D96ACB" w14:textId="77777777" w:rsidR="00290C61" w:rsidRPr="00556147" w:rsidRDefault="00290C61" w:rsidP="00C66EE3">
      <w:pPr>
        <w:spacing w:after="120" w:line="360" w:lineRule="auto"/>
        <w:rPr>
          <w:rFonts w:ascii="Work Sans" w:eastAsia="Times New Roman" w:hAnsi="Work Sans" w:cs="Times New Roman"/>
          <w:color w:val="000000" w:themeColor="text1"/>
          <w:sz w:val="21"/>
          <w:szCs w:val="21"/>
          <w:lang w:eastAsia="pt-PT"/>
        </w:rPr>
      </w:pPr>
      <w:r w:rsidRPr="00556147">
        <w:rPr>
          <w:rFonts w:ascii="Work Sans" w:hAnsi="Work Sans"/>
          <w:color w:val="000000" w:themeColor="text1"/>
          <w:sz w:val="20"/>
          <w:szCs w:val="20"/>
        </w:rPr>
        <w:t xml:space="preserve">c) Prevenir potenciais conflitos de interesse e evitar a participação dos seus membros na elaboração do enunciado da prova ou em quaisquer </w:t>
      </w:r>
      <w:r w:rsidRPr="00556147">
        <w:rPr>
          <w:rFonts w:ascii="Work Sans" w:eastAsia="Times New Roman" w:hAnsi="Work Sans"/>
          <w:color w:val="000000" w:themeColor="text1"/>
          <w:sz w:val="20"/>
          <w:szCs w:val="20"/>
          <w:shd w:val="clear" w:color="auto" w:fill="FFFFFF"/>
          <w:lang w:eastAsia="pt-PT"/>
        </w:rPr>
        <w:t>deliberações, sempre que estejam envolvidos familiares próximos, internos dos quais sejam orientadores de formação ou outras pessoas suscetíveis de colocar esse membro em situação de conflito de interesses;</w:t>
      </w:r>
    </w:p>
    <w:p w14:paraId="3FE2DD3D" w14:textId="77777777" w:rsidR="00290C61" w:rsidRPr="00556147" w:rsidRDefault="00290C61" w:rsidP="00C66EE3">
      <w:pPr>
        <w:spacing w:after="120" w:line="360" w:lineRule="auto"/>
        <w:rPr>
          <w:rFonts w:ascii="Work Sans" w:eastAsia="Times New Roman" w:hAnsi="Work Sans" w:cs="Times New Roman"/>
          <w:sz w:val="21"/>
          <w:szCs w:val="21"/>
          <w:lang w:eastAsia="pt-PT"/>
        </w:rPr>
      </w:pPr>
      <w:r w:rsidRPr="00556147">
        <w:rPr>
          <w:rFonts w:ascii="Work Sans" w:hAnsi="Work Sans"/>
          <w:sz w:val="20"/>
          <w:szCs w:val="20"/>
        </w:rPr>
        <w:t xml:space="preserve">d)  Cumprir as suas tarefas nos prazos previstos no regulamento da prova; </w:t>
      </w:r>
    </w:p>
    <w:p w14:paraId="7D4E51C9"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e)  Colaborar com os Júris da Avaliação Final em curso e com a ACSS, IP, para o regular cumprimento do cronograma de cada época de Avaliação.</w:t>
      </w:r>
    </w:p>
    <w:p w14:paraId="40A48A0D" w14:textId="77777777" w:rsidR="00290C61" w:rsidRPr="00556147" w:rsidRDefault="00290C61" w:rsidP="00C66EE3">
      <w:pPr>
        <w:spacing w:after="120" w:line="360" w:lineRule="auto"/>
        <w:jc w:val="both"/>
        <w:rPr>
          <w:rFonts w:ascii="Work Sans" w:hAnsi="Work Sans"/>
          <w:sz w:val="20"/>
          <w:szCs w:val="20"/>
        </w:rPr>
      </w:pPr>
    </w:p>
    <w:p w14:paraId="0350DC49" w14:textId="77777777" w:rsidR="00290C61" w:rsidRPr="00556147" w:rsidRDefault="00290C61" w:rsidP="00C66EE3">
      <w:pPr>
        <w:spacing w:after="120" w:line="360" w:lineRule="auto"/>
        <w:jc w:val="center"/>
        <w:rPr>
          <w:rFonts w:ascii="Work Sans" w:hAnsi="Work Sans"/>
          <w:b/>
          <w:sz w:val="20"/>
          <w:szCs w:val="20"/>
        </w:rPr>
      </w:pPr>
      <w:r w:rsidRPr="00556147">
        <w:rPr>
          <w:rFonts w:ascii="Work Sans" w:hAnsi="Work Sans"/>
          <w:b/>
          <w:sz w:val="20"/>
          <w:szCs w:val="20"/>
        </w:rPr>
        <w:t>Capítulo III Disposições finais</w:t>
      </w:r>
    </w:p>
    <w:p w14:paraId="62D33E9D" w14:textId="77777777" w:rsidR="00290C61" w:rsidRPr="00556147" w:rsidRDefault="00290C61" w:rsidP="00C66EE3">
      <w:pPr>
        <w:spacing w:after="120" w:line="360" w:lineRule="auto"/>
        <w:jc w:val="center"/>
        <w:rPr>
          <w:rFonts w:ascii="Work Sans" w:hAnsi="Work Sans"/>
          <w:b/>
          <w:sz w:val="20"/>
          <w:szCs w:val="20"/>
        </w:rPr>
      </w:pPr>
      <w:r w:rsidRPr="00556147">
        <w:rPr>
          <w:rFonts w:ascii="Work Sans" w:hAnsi="Work Sans"/>
          <w:b/>
          <w:sz w:val="20"/>
          <w:szCs w:val="20"/>
        </w:rPr>
        <w:t>Artigo 6º Casos omissos</w:t>
      </w:r>
    </w:p>
    <w:p w14:paraId="5D1609F0" w14:textId="77777777" w:rsidR="00290C61" w:rsidRPr="00556147" w:rsidRDefault="00290C61" w:rsidP="00C66EE3">
      <w:pPr>
        <w:spacing w:after="120" w:line="360" w:lineRule="auto"/>
        <w:jc w:val="center"/>
        <w:rPr>
          <w:rFonts w:ascii="Work Sans" w:hAnsi="Work Sans"/>
          <w:sz w:val="6"/>
          <w:szCs w:val="6"/>
        </w:rPr>
      </w:pPr>
    </w:p>
    <w:p w14:paraId="31883486"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1. Os casos omissos do presente regulamento são sujeitos a parecer da ACSS, I. P., uma vez ouvidos a Ordem dos Médicos e o CNIM, o qual será emitido em conformidade com os princípios e normas constantes do Regime Jurídico do Internato Médico, nomeadamente, com o princípio do superior interesse da formação médica pós-graduada.</w:t>
      </w:r>
    </w:p>
    <w:p w14:paraId="5153C794" w14:textId="77777777" w:rsidR="00290C61" w:rsidRPr="00556147" w:rsidRDefault="00290C61" w:rsidP="00C66EE3">
      <w:pPr>
        <w:spacing w:after="120" w:line="360" w:lineRule="auto"/>
        <w:jc w:val="both"/>
        <w:rPr>
          <w:rFonts w:ascii="Work Sans" w:hAnsi="Work Sans"/>
          <w:b/>
          <w:sz w:val="20"/>
          <w:szCs w:val="20"/>
        </w:rPr>
      </w:pPr>
    </w:p>
    <w:p w14:paraId="161C5CDF" w14:textId="77777777" w:rsidR="00290C61" w:rsidRPr="00556147" w:rsidRDefault="00290C61" w:rsidP="00C66EE3">
      <w:pPr>
        <w:spacing w:after="120" w:line="360" w:lineRule="auto"/>
        <w:jc w:val="center"/>
        <w:rPr>
          <w:rFonts w:ascii="Work Sans" w:hAnsi="Work Sans"/>
          <w:b/>
          <w:sz w:val="20"/>
          <w:szCs w:val="20"/>
        </w:rPr>
      </w:pPr>
      <w:r w:rsidRPr="00556147">
        <w:rPr>
          <w:rFonts w:ascii="Work Sans" w:hAnsi="Work Sans"/>
          <w:b/>
          <w:sz w:val="20"/>
          <w:szCs w:val="20"/>
        </w:rPr>
        <w:t>Artigo 7º Revisão</w:t>
      </w:r>
    </w:p>
    <w:p w14:paraId="5923A443" w14:textId="77777777" w:rsidR="00290C61" w:rsidRPr="00556147" w:rsidRDefault="00290C61" w:rsidP="00C66EE3">
      <w:pPr>
        <w:spacing w:after="120" w:line="360" w:lineRule="auto"/>
        <w:jc w:val="center"/>
        <w:rPr>
          <w:rFonts w:ascii="Work Sans" w:hAnsi="Work Sans"/>
          <w:sz w:val="6"/>
          <w:szCs w:val="6"/>
        </w:rPr>
      </w:pPr>
    </w:p>
    <w:p w14:paraId="47618298"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1. Sem prejuízo do previsto no Regime Jurídico do Internato Médico, o Regulamento será objeto de revisão no prazo de três anos após a data da sua entrada em vigor</w:t>
      </w:r>
      <w:sdt>
        <w:sdtPr>
          <w:rPr>
            <w:rFonts w:ascii="Work Sans" w:hAnsi="Work Sans"/>
            <w:sz w:val="20"/>
            <w:szCs w:val="20"/>
          </w:rPr>
          <w:tag w:val="goog_rdk_3"/>
          <w:id w:val="-2094083302"/>
        </w:sdtPr>
        <w:sdtEndPr/>
        <w:sdtContent>
          <w:r w:rsidRPr="00556147">
            <w:rPr>
              <w:rFonts w:ascii="Work Sans" w:hAnsi="Work Sans"/>
              <w:sz w:val="20"/>
              <w:szCs w:val="20"/>
            </w:rPr>
            <w:t>, sob proposta do colégio de especialidade de Ginecologia/ Obstetrícia</w:t>
          </w:r>
        </w:sdtContent>
      </w:sdt>
      <w:r w:rsidRPr="00556147">
        <w:rPr>
          <w:rFonts w:ascii="Work Sans" w:hAnsi="Work Sans"/>
          <w:sz w:val="20"/>
          <w:szCs w:val="20"/>
        </w:rPr>
        <w:t xml:space="preserve">. </w:t>
      </w:r>
    </w:p>
    <w:p w14:paraId="02DBDC69" w14:textId="77777777" w:rsidR="00290C61" w:rsidRPr="00556147" w:rsidRDefault="00290C61" w:rsidP="00C66EE3">
      <w:pPr>
        <w:spacing w:after="120" w:line="360" w:lineRule="auto"/>
        <w:jc w:val="both"/>
        <w:rPr>
          <w:rFonts w:ascii="Work Sans" w:hAnsi="Work Sans"/>
          <w:sz w:val="20"/>
          <w:szCs w:val="20"/>
        </w:rPr>
      </w:pPr>
    </w:p>
    <w:p w14:paraId="47A35DCB" w14:textId="77777777" w:rsidR="00290C61" w:rsidRPr="00556147" w:rsidRDefault="00290C61" w:rsidP="00C66EE3">
      <w:pPr>
        <w:spacing w:after="120" w:line="360" w:lineRule="auto"/>
        <w:jc w:val="center"/>
        <w:rPr>
          <w:rFonts w:ascii="Work Sans" w:hAnsi="Work Sans"/>
          <w:b/>
          <w:sz w:val="20"/>
          <w:szCs w:val="20"/>
        </w:rPr>
      </w:pPr>
      <w:r w:rsidRPr="00556147">
        <w:rPr>
          <w:rFonts w:ascii="Work Sans" w:hAnsi="Work Sans"/>
          <w:b/>
          <w:sz w:val="20"/>
          <w:szCs w:val="20"/>
        </w:rPr>
        <w:t>Artigo 8º Entrada em vigor</w:t>
      </w:r>
    </w:p>
    <w:p w14:paraId="615210AF" w14:textId="77777777" w:rsidR="00290C61" w:rsidRPr="00556147" w:rsidRDefault="00290C61" w:rsidP="00C66EE3">
      <w:pPr>
        <w:spacing w:after="120" w:line="360" w:lineRule="auto"/>
        <w:jc w:val="center"/>
        <w:rPr>
          <w:rFonts w:ascii="Work Sans" w:hAnsi="Work Sans"/>
          <w:sz w:val="6"/>
          <w:szCs w:val="6"/>
        </w:rPr>
      </w:pPr>
    </w:p>
    <w:p w14:paraId="2456F58C" w14:textId="77777777" w:rsidR="00290C61" w:rsidRPr="00556147" w:rsidRDefault="00290C61" w:rsidP="00C66EE3">
      <w:pPr>
        <w:spacing w:after="120" w:line="360" w:lineRule="auto"/>
        <w:jc w:val="both"/>
        <w:rPr>
          <w:rFonts w:ascii="Work Sans" w:hAnsi="Work Sans"/>
          <w:sz w:val="20"/>
          <w:szCs w:val="20"/>
        </w:rPr>
      </w:pPr>
      <w:r w:rsidRPr="00556147">
        <w:rPr>
          <w:rFonts w:ascii="Work Sans" w:hAnsi="Work Sans"/>
          <w:sz w:val="20"/>
          <w:szCs w:val="20"/>
        </w:rPr>
        <w:t>1. O presente regulamento entra em vigor no dia útil seguinte ao da sua publicação.</w:t>
      </w:r>
    </w:p>
    <w:p w14:paraId="21F3C9DA" w14:textId="5FBCAB19" w:rsidR="007F2C39" w:rsidRPr="00556147" w:rsidRDefault="00AD1918" w:rsidP="00C66EE3">
      <w:pPr>
        <w:spacing w:after="120" w:line="360" w:lineRule="auto"/>
        <w:jc w:val="both"/>
        <w:rPr>
          <w:rFonts w:ascii="Work Sans" w:hAnsi="Work Sans" w:cstheme="minorHAnsi"/>
          <w:sz w:val="15"/>
          <w:szCs w:val="21"/>
        </w:rPr>
      </w:pPr>
      <w:sdt>
        <w:sdtPr>
          <w:rPr>
            <w:rFonts w:ascii="Work Sans" w:hAnsi="Work Sans"/>
            <w:sz w:val="20"/>
            <w:szCs w:val="20"/>
          </w:rPr>
          <w:tag w:val="goog_rdk_4"/>
          <w:id w:val="-180126865"/>
        </w:sdtPr>
        <w:sdtEndPr/>
        <w:sdtContent/>
      </w:sdt>
      <w:r w:rsidR="00290C61" w:rsidRPr="00556147">
        <w:rPr>
          <w:rFonts w:ascii="Work Sans" w:hAnsi="Work Sans"/>
          <w:sz w:val="21"/>
          <w:szCs w:val="21"/>
        </w:rPr>
        <w:t xml:space="preserve"> </w:t>
      </w:r>
    </w:p>
    <w:sectPr w:rsidR="007F2C39" w:rsidRPr="00556147" w:rsidSect="00C66EE3">
      <w:headerReference w:type="default" r:id="rId7"/>
      <w:headerReference w:type="first" r:id="rId8"/>
      <w:footerReference w:type="first" r:id="rId9"/>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8878" w14:textId="77777777" w:rsidR="00AD1918" w:rsidRDefault="00AD1918" w:rsidP="00AA4CE1">
      <w:pPr>
        <w:spacing w:after="0" w:line="240" w:lineRule="auto"/>
      </w:pPr>
      <w:r>
        <w:separator/>
      </w:r>
    </w:p>
  </w:endnote>
  <w:endnote w:type="continuationSeparator" w:id="0">
    <w:p w14:paraId="67008F6E" w14:textId="77777777" w:rsidR="00AD1918" w:rsidRDefault="00AD1918" w:rsidP="00AA4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illa Slab">
    <w:panose1 w:val="00000000000000000000"/>
    <w:charset w:val="4D"/>
    <w:family w:val="auto"/>
    <w:pitch w:val="variable"/>
    <w:sig w:usb0="A00000FF" w:usb1="5001E47B" w:usb2="00000000" w:usb3="00000000" w:csb0="0000009B" w:csb1="00000000"/>
  </w:font>
  <w:font w:name="Work Sans">
    <w:panose1 w:val="00000000000000000000"/>
    <w:charset w:val="4D"/>
    <w:family w:val="auto"/>
    <w:pitch w:val="variable"/>
    <w:sig w:usb0="A00000FF" w:usb1="5000E07B"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A516" w14:textId="77777777" w:rsidR="0062702D" w:rsidRDefault="0062702D" w:rsidP="0062702D">
    <w:pPr>
      <w:pStyle w:val="Footer"/>
      <w:pBdr>
        <w:top w:val="single" w:sz="2" w:space="1" w:color="00B0F0"/>
      </w:pBdr>
      <w:ind w:right="6235"/>
      <w:rPr>
        <w:rFonts w:ascii="Work Sans" w:hAnsi="Work Sans"/>
        <w:color w:val="00B0F0"/>
        <w:sz w:val="16"/>
        <w:szCs w:val="16"/>
      </w:rPr>
    </w:pPr>
  </w:p>
  <w:p w14:paraId="7CD816E8" w14:textId="0E6F9EE3" w:rsidR="00C66EE3" w:rsidRPr="0062702D" w:rsidRDefault="0062702D" w:rsidP="0062702D">
    <w:pPr>
      <w:pStyle w:val="Footer"/>
      <w:ind w:right="-2"/>
      <w:rPr>
        <w:rFonts w:ascii="Work Sans" w:hAnsi="Work Sans"/>
        <w:color w:val="00B0F0"/>
        <w:sz w:val="16"/>
        <w:szCs w:val="16"/>
      </w:rPr>
    </w:pPr>
    <w:r w:rsidRPr="0062702D">
      <w:rPr>
        <w:rFonts w:ascii="Work Sans" w:hAnsi="Work Sans"/>
        <w:color w:val="00B0F0"/>
        <w:sz w:val="16"/>
        <w:szCs w:val="16"/>
      </w:rPr>
      <w:t>Aprovado em reunião do Conselho Nacional da Ordem dos Médicos</w:t>
    </w:r>
    <w:r w:rsidRPr="0062702D">
      <w:rPr>
        <w:rFonts w:ascii="Work Sans" w:hAnsi="Work Sans"/>
        <w:color w:val="00B0F0"/>
        <w:sz w:val="16"/>
        <w:szCs w:val="16"/>
      </w:rPr>
      <w:t xml:space="preserve"> e enviado ao CNIM em </w:t>
    </w:r>
    <w:r>
      <w:rPr>
        <w:rFonts w:ascii="Work Sans" w:hAnsi="Work Sans"/>
        <w:color w:val="00B0F0"/>
        <w:sz w:val="16"/>
        <w:szCs w:val="16"/>
      </w:rPr>
      <w:t xml:space="preserve">setembro de </w:t>
    </w:r>
    <w:r w:rsidRPr="0062702D">
      <w:rPr>
        <w:rFonts w:ascii="Work Sans" w:hAnsi="Work Sans"/>
        <w:color w:val="00B0F0"/>
        <w:sz w:val="16"/>
        <w:szCs w:val="16"/>
      </w:rPr>
      <w:t>2023. Aguarda pronúncia pelos</w:t>
    </w:r>
    <w:r>
      <w:rPr>
        <w:rFonts w:ascii="Work Sans" w:hAnsi="Work Sans"/>
        <w:color w:val="00B0F0"/>
        <w:sz w:val="16"/>
        <w:szCs w:val="16"/>
      </w:rPr>
      <w:t xml:space="preserve"> </w:t>
    </w:r>
    <w:r w:rsidRPr="0062702D">
      <w:rPr>
        <w:rFonts w:ascii="Work Sans" w:hAnsi="Work Sans"/>
        <w:color w:val="00B0F0"/>
        <w:sz w:val="16"/>
        <w:szCs w:val="16"/>
      </w:rPr>
      <w:t>órgãos competentes.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50E0A" w14:textId="77777777" w:rsidR="00AD1918" w:rsidRDefault="00AD1918" w:rsidP="00AA4CE1">
      <w:pPr>
        <w:spacing w:after="0" w:line="240" w:lineRule="auto"/>
      </w:pPr>
      <w:r>
        <w:separator/>
      </w:r>
    </w:p>
  </w:footnote>
  <w:footnote w:type="continuationSeparator" w:id="0">
    <w:p w14:paraId="6803A1D7" w14:textId="77777777" w:rsidR="00AD1918" w:rsidRDefault="00AD1918" w:rsidP="00AA4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0A78" w14:textId="77777777" w:rsidR="00556147" w:rsidRDefault="00556147" w:rsidP="00C66EE3">
    <w:pPr>
      <w:pStyle w:val="Header"/>
      <w:ind w:left="-1418"/>
    </w:pPr>
    <w:r>
      <w:rPr>
        <w:noProof/>
      </w:rPr>
      <w:drawing>
        <wp:inline distT="0" distB="0" distL="0" distR="0" wp14:anchorId="3CAC6573" wp14:editId="3CBCCE09">
          <wp:extent cx="7547918" cy="1521758"/>
          <wp:effectExtent l="0" t="0" r="0" b="2540"/>
          <wp:docPr id="569058668" name="Imagem 6" descr="A white background with yellow and green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58668" name="Imagem 6" descr="A white background with yellow and green colo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5945" cy="1531441"/>
                  </a:xfrm>
                  <a:prstGeom prst="rect">
                    <a:avLst/>
                  </a:prstGeom>
                </pic:spPr>
              </pic:pic>
            </a:graphicData>
          </a:graphic>
        </wp:inline>
      </w:drawing>
    </w:r>
  </w:p>
  <w:p w14:paraId="2F1A0852" w14:textId="3D454ACB" w:rsidR="00A60A93" w:rsidRDefault="00A60A93" w:rsidP="00556147">
    <w:pPr>
      <w:pStyle w:val="Header"/>
      <w:tabs>
        <w:tab w:val="clear" w:pos="4252"/>
        <w:tab w:val="clear" w:pos="8504"/>
      </w:tabs>
    </w:pPr>
  </w:p>
  <w:p w14:paraId="26531B26" w14:textId="5D454CA1" w:rsidR="00556147" w:rsidRDefault="00556147" w:rsidP="00556147">
    <w:pPr>
      <w:pStyle w:val="Header"/>
      <w:tabs>
        <w:tab w:val="clear" w:pos="4252"/>
        <w:tab w:val="clear" w:pos="8504"/>
      </w:tabs>
    </w:pPr>
  </w:p>
  <w:p w14:paraId="4699B5CC" w14:textId="77777777" w:rsidR="00556147" w:rsidRDefault="00556147" w:rsidP="00556147">
    <w:pPr>
      <w:pStyle w:val="Header"/>
      <w:tabs>
        <w:tab w:val="clear" w:pos="4252"/>
        <w:tab w:val="clear" w:pos="85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839B" w14:textId="23AD5931" w:rsidR="00C66EE3" w:rsidRDefault="00C66EE3" w:rsidP="00C66EE3">
    <w:pPr>
      <w:pStyle w:val="Header"/>
      <w:ind w:left="-1418"/>
    </w:pPr>
    <w:r>
      <w:rPr>
        <w:noProof/>
      </w:rPr>
      <w:drawing>
        <wp:inline distT="0" distB="0" distL="0" distR="0" wp14:anchorId="4C436D17" wp14:editId="5FFD46AE">
          <wp:extent cx="7586277" cy="1529255"/>
          <wp:effectExtent l="0" t="0" r="0" b="0"/>
          <wp:docPr id="2" name="Imagem 6" descr="A white background with yellow and green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58668" name="Imagem 6" descr="A white background with yellow and green colo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01792" cy="1552541"/>
                  </a:xfrm>
                  <a:prstGeom prst="rect">
                    <a:avLst/>
                  </a:prstGeom>
                </pic:spPr>
              </pic:pic>
            </a:graphicData>
          </a:graphic>
        </wp:inline>
      </w:drawing>
    </w:r>
  </w:p>
  <w:p w14:paraId="5DB41C61" w14:textId="128D73C8" w:rsidR="00C66EE3" w:rsidRDefault="00C66EE3" w:rsidP="00C66EE3">
    <w:pPr>
      <w:pStyle w:val="Header"/>
      <w:ind w:left="-1418"/>
    </w:pPr>
  </w:p>
  <w:p w14:paraId="579F68B7" w14:textId="77777777" w:rsidR="00C66EE3" w:rsidRDefault="00C66EE3" w:rsidP="00C66EE3">
    <w:pPr>
      <w:pStyle w:val="Header"/>
      <w:ind w:left="-1418"/>
    </w:pPr>
  </w:p>
  <w:p w14:paraId="74CB57E8" w14:textId="77777777" w:rsidR="00C66EE3" w:rsidRDefault="00C66EE3" w:rsidP="00C66EE3">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62152"/>
    <w:multiLevelType w:val="multilevel"/>
    <w:tmpl w:val="E5A6B9D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C44"/>
    <w:rsid w:val="0002287F"/>
    <w:rsid w:val="00025A86"/>
    <w:rsid w:val="000469FE"/>
    <w:rsid w:val="000C2B7B"/>
    <w:rsid w:val="00100FEC"/>
    <w:rsid w:val="00115DEB"/>
    <w:rsid w:val="00125E0D"/>
    <w:rsid w:val="00163533"/>
    <w:rsid w:val="00196115"/>
    <w:rsid w:val="00215DA5"/>
    <w:rsid w:val="00222EB9"/>
    <w:rsid w:val="0023277A"/>
    <w:rsid w:val="002419A0"/>
    <w:rsid w:val="002807D4"/>
    <w:rsid w:val="00290C61"/>
    <w:rsid w:val="002C55CF"/>
    <w:rsid w:val="002F0F25"/>
    <w:rsid w:val="003473EF"/>
    <w:rsid w:val="003B631D"/>
    <w:rsid w:val="003C0518"/>
    <w:rsid w:val="003C4023"/>
    <w:rsid w:val="003C7E68"/>
    <w:rsid w:val="003D3268"/>
    <w:rsid w:val="003E413E"/>
    <w:rsid w:val="00432A63"/>
    <w:rsid w:val="004D5532"/>
    <w:rsid w:val="005147D4"/>
    <w:rsid w:val="00556147"/>
    <w:rsid w:val="00561647"/>
    <w:rsid w:val="005816F8"/>
    <w:rsid w:val="00594C71"/>
    <w:rsid w:val="005E44F0"/>
    <w:rsid w:val="00602914"/>
    <w:rsid w:val="00611C8E"/>
    <w:rsid w:val="006146BD"/>
    <w:rsid w:val="006153FF"/>
    <w:rsid w:val="0062702D"/>
    <w:rsid w:val="006738C3"/>
    <w:rsid w:val="00684271"/>
    <w:rsid w:val="00685657"/>
    <w:rsid w:val="00692635"/>
    <w:rsid w:val="006B5E41"/>
    <w:rsid w:val="006E6912"/>
    <w:rsid w:val="006F2AAB"/>
    <w:rsid w:val="0072774F"/>
    <w:rsid w:val="007E5E0B"/>
    <w:rsid w:val="007F2C39"/>
    <w:rsid w:val="008C09FF"/>
    <w:rsid w:val="008C1E00"/>
    <w:rsid w:val="008F22EF"/>
    <w:rsid w:val="008F69D4"/>
    <w:rsid w:val="0099173B"/>
    <w:rsid w:val="00A00C60"/>
    <w:rsid w:val="00A508FA"/>
    <w:rsid w:val="00A60A93"/>
    <w:rsid w:val="00A81D73"/>
    <w:rsid w:val="00AA4CE1"/>
    <w:rsid w:val="00AD1918"/>
    <w:rsid w:val="00AF5D4F"/>
    <w:rsid w:val="00B13E9B"/>
    <w:rsid w:val="00B542E3"/>
    <w:rsid w:val="00B65D0C"/>
    <w:rsid w:val="00B86BE5"/>
    <w:rsid w:val="00BB39E6"/>
    <w:rsid w:val="00BB6E0A"/>
    <w:rsid w:val="00BF4450"/>
    <w:rsid w:val="00C079FF"/>
    <w:rsid w:val="00C25660"/>
    <w:rsid w:val="00C37E06"/>
    <w:rsid w:val="00C431F5"/>
    <w:rsid w:val="00C62C63"/>
    <w:rsid w:val="00C66EE3"/>
    <w:rsid w:val="00C90A71"/>
    <w:rsid w:val="00CB20B6"/>
    <w:rsid w:val="00CC5222"/>
    <w:rsid w:val="00CF10B6"/>
    <w:rsid w:val="00D45C71"/>
    <w:rsid w:val="00D85EF2"/>
    <w:rsid w:val="00DC497E"/>
    <w:rsid w:val="00DE1ACF"/>
    <w:rsid w:val="00E0473F"/>
    <w:rsid w:val="00E27B08"/>
    <w:rsid w:val="00E4673A"/>
    <w:rsid w:val="00E60FB5"/>
    <w:rsid w:val="00E65BEC"/>
    <w:rsid w:val="00E8225C"/>
    <w:rsid w:val="00E97C44"/>
    <w:rsid w:val="00EC0A6A"/>
    <w:rsid w:val="00F47C5E"/>
    <w:rsid w:val="00F67900"/>
    <w:rsid w:val="00F75379"/>
    <w:rsid w:val="00FB4CFC"/>
    <w:rsid w:val="00FD32FE"/>
    <w:rsid w:val="00FD5981"/>
    <w:rsid w:val="00FF6C0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AC39"/>
  <w15:docId w15:val="{D9C577E2-2D99-4284-868F-144CC3FE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6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7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4CE1"/>
    <w:pPr>
      <w:tabs>
        <w:tab w:val="center" w:pos="4252"/>
        <w:tab w:val="right" w:pos="8504"/>
      </w:tabs>
      <w:spacing w:after="0" w:line="240" w:lineRule="auto"/>
    </w:pPr>
  </w:style>
  <w:style w:type="character" w:customStyle="1" w:styleId="HeaderChar">
    <w:name w:val="Header Char"/>
    <w:basedOn w:val="DefaultParagraphFont"/>
    <w:link w:val="Header"/>
    <w:uiPriority w:val="99"/>
    <w:rsid w:val="00AA4CE1"/>
  </w:style>
  <w:style w:type="paragraph" w:styleId="Footer">
    <w:name w:val="footer"/>
    <w:basedOn w:val="Normal"/>
    <w:link w:val="FooterChar"/>
    <w:uiPriority w:val="99"/>
    <w:unhideWhenUsed/>
    <w:rsid w:val="00AA4CE1"/>
    <w:pPr>
      <w:tabs>
        <w:tab w:val="center" w:pos="4252"/>
        <w:tab w:val="right" w:pos="8504"/>
      </w:tabs>
      <w:spacing w:after="0" w:line="240" w:lineRule="auto"/>
    </w:pPr>
  </w:style>
  <w:style w:type="character" w:customStyle="1" w:styleId="FooterChar">
    <w:name w:val="Footer Char"/>
    <w:basedOn w:val="DefaultParagraphFont"/>
    <w:link w:val="Footer"/>
    <w:uiPriority w:val="99"/>
    <w:rsid w:val="00AA4CE1"/>
  </w:style>
  <w:style w:type="paragraph" w:styleId="BalloonText">
    <w:name w:val="Balloon Text"/>
    <w:basedOn w:val="Normal"/>
    <w:link w:val="BalloonTextChar"/>
    <w:uiPriority w:val="99"/>
    <w:semiHidden/>
    <w:unhideWhenUsed/>
    <w:rsid w:val="00AA4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CE1"/>
    <w:rPr>
      <w:rFonts w:ascii="Tahoma" w:hAnsi="Tahoma" w:cs="Tahoma"/>
      <w:sz w:val="16"/>
      <w:szCs w:val="16"/>
    </w:rPr>
  </w:style>
  <w:style w:type="character" w:styleId="CommentReference">
    <w:name w:val="annotation reference"/>
    <w:basedOn w:val="DefaultParagraphFont"/>
    <w:uiPriority w:val="99"/>
    <w:semiHidden/>
    <w:unhideWhenUsed/>
    <w:rsid w:val="00D85EF2"/>
    <w:rPr>
      <w:sz w:val="18"/>
      <w:szCs w:val="18"/>
    </w:rPr>
  </w:style>
  <w:style w:type="paragraph" w:styleId="CommentText">
    <w:name w:val="annotation text"/>
    <w:basedOn w:val="Normal"/>
    <w:link w:val="CommentTextChar"/>
    <w:uiPriority w:val="99"/>
    <w:unhideWhenUsed/>
    <w:rsid w:val="00D85EF2"/>
    <w:pPr>
      <w:spacing w:line="240" w:lineRule="auto"/>
    </w:pPr>
    <w:rPr>
      <w:sz w:val="24"/>
      <w:szCs w:val="24"/>
    </w:rPr>
  </w:style>
  <w:style w:type="character" w:customStyle="1" w:styleId="CommentTextChar">
    <w:name w:val="Comment Text Char"/>
    <w:basedOn w:val="DefaultParagraphFont"/>
    <w:link w:val="CommentText"/>
    <w:uiPriority w:val="99"/>
    <w:rsid w:val="00D85EF2"/>
    <w:rPr>
      <w:sz w:val="24"/>
      <w:szCs w:val="24"/>
    </w:rPr>
  </w:style>
  <w:style w:type="paragraph" w:styleId="NormalWeb">
    <w:name w:val="Normal (Web)"/>
    <w:basedOn w:val="Normal"/>
    <w:uiPriority w:val="99"/>
    <w:semiHidden/>
    <w:unhideWhenUsed/>
    <w:rsid w:val="00A508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11723">
      <w:bodyDiv w:val="1"/>
      <w:marLeft w:val="0"/>
      <w:marRight w:val="0"/>
      <w:marTop w:val="0"/>
      <w:marBottom w:val="0"/>
      <w:divBdr>
        <w:top w:val="none" w:sz="0" w:space="0" w:color="auto"/>
        <w:left w:val="none" w:sz="0" w:space="0" w:color="auto"/>
        <w:bottom w:val="none" w:sz="0" w:space="0" w:color="auto"/>
        <w:right w:val="none" w:sz="0" w:space="0" w:color="auto"/>
      </w:divBdr>
      <w:divsChild>
        <w:div w:id="411397802">
          <w:marLeft w:val="0"/>
          <w:marRight w:val="0"/>
          <w:marTop w:val="0"/>
          <w:marBottom w:val="0"/>
          <w:divBdr>
            <w:top w:val="none" w:sz="0" w:space="0" w:color="auto"/>
            <w:left w:val="none" w:sz="0" w:space="0" w:color="auto"/>
            <w:bottom w:val="none" w:sz="0" w:space="0" w:color="auto"/>
            <w:right w:val="none" w:sz="0" w:space="0" w:color="auto"/>
          </w:divBdr>
          <w:divsChild>
            <w:div w:id="1413703217">
              <w:marLeft w:val="0"/>
              <w:marRight w:val="0"/>
              <w:marTop w:val="0"/>
              <w:marBottom w:val="0"/>
              <w:divBdr>
                <w:top w:val="none" w:sz="0" w:space="0" w:color="auto"/>
                <w:left w:val="none" w:sz="0" w:space="0" w:color="auto"/>
                <w:bottom w:val="none" w:sz="0" w:space="0" w:color="auto"/>
                <w:right w:val="none" w:sz="0" w:space="0" w:color="auto"/>
              </w:divBdr>
              <w:divsChild>
                <w:div w:id="97494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86006">
      <w:bodyDiv w:val="1"/>
      <w:marLeft w:val="0"/>
      <w:marRight w:val="0"/>
      <w:marTop w:val="0"/>
      <w:marBottom w:val="0"/>
      <w:divBdr>
        <w:top w:val="none" w:sz="0" w:space="0" w:color="auto"/>
        <w:left w:val="none" w:sz="0" w:space="0" w:color="auto"/>
        <w:bottom w:val="none" w:sz="0" w:space="0" w:color="auto"/>
        <w:right w:val="none" w:sz="0" w:space="0" w:color="auto"/>
      </w:divBdr>
      <w:divsChild>
        <w:div w:id="666593965">
          <w:marLeft w:val="0"/>
          <w:marRight w:val="0"/>
          <w:marTop w:val="0"/>
          <w:marBottom w:val="0"/>
          <w:divBdr>
            <w:top w:val="none" w:sz="0" w:space="0" w:color="auto"/>
            <w:left w:val="none" w:sz="0" w:space="0" w:color="auto"/>
            <w:bottom w:val="none" w:sz="0" w:space="0" w:color="auto"/>
            <w:right w:val="none" w:sz="0" w:space="0" w:color="auto"/>
          </w:divBdr>
          <w:divsChild>
            <w:div w:id="2019577842">
              <w:marLeft w:val="0"/>
              <w:marRight w:val="0"/>
              <w:marTop w:val="0"/>
              <w:marBottom w:val="0"/>
              <w:divBdr>
                <w:top w:val="none" w:sz="0" w:space="0" w:color="auto"/>
                <w:left w:val="none" w:sz="0" w:space="0" w:color="auto"/>
                <w:bottom w:val="none" w:sz="0" w:space="0" w:color="auto"/>
                <w:right w:val="none" w:sz="0" w:space="0" w:color="auto"/>
              </w:divBdr>
              <w:divsChild>
                <w:div w:id="20913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0177">
      <w:bodyDiv w:val="1"/>
      <w:marLeft w:val="0"/>
      <w:marRight w:val="0"/>
      <w:marTop w:val="0"/>
      <w:marBottom w:val="0"/>
      <w:divBdr>
        <w:top w:val="none" w:sz="0" w:space="0" w:color="auto"/>
        <w:left w:val="none" w:sz="0" w:space="0" w:color="auto"/>
        <w:bottom w:val="none" w:sz="0" w:space="0" w:color="auto"/>
        <w:right w:val="none" w:sz="0" w:space="0" w:color="auto"/>
      </w:divBdr>
      <w:divsChild>
        <w:div w:id="790713165">
          <w:marLeft w:val="0"/>
          <w:marRight w:val="0"/>
          <w:marTop w:val="0"/>
          <w:marBottom w:val="0"/>
          <w:divBdr>
            <w:top w:val="none" w:sz="0" w:space="0" w:color="auto"/>
            <w:left w:val="none" w:sz="0" w:space="0" w:color="auto"/>
            <w:bottom w:val="none" w:sz="0" w:space="0" w:color="auto"/>
            <w:right w:val="none" w:sz="0" w:space="0" w:color="auto"/>
          </w:divBdr>
          <w:divsChild>
            <w:div w:id="651255128">
              <w:marLeft w:val="0"/>
              <w:marRight w:val="0"/>
              <w:marTop w:val="0"/>
              <w:marBottom w:val="0"/>
              <w:divBdr>
                <w:top w:val="none" w:sz="0" w:space="0" w:color="auto"/>
                <w:left w:val="none" w:sz="0" w:space="0" w:color="auto"/>
                <w:bottom w:val="none" w:sz="0" w:space="0" w:color="auto"/>
                <w:right w:val="none" w:sz="0" w:space="0" w:color="auto"/>
              </w:divBdr>
              <w:divsChild>
                <w:div w:id="6649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3820">
      <w:bodyDiv w:val="1"/>
      <w:marLeft w:val="0"/>
      <w:marRight w:val="0"/>
      <w:marTop w:val="0"/>
      <w:marBottom w:val="0"/>
      <w:divBdr>
        <w:top w:val="none" w:sz="0" w:space="0" w:color="auto"/>
        <w:left w:val="none" w:sz="0" w:space="0" w:color="auto"/>
        <w:bottom w:val="none" w:sz="0" w:space="0" w:color="auto"/>
        <w:right w:val="none" w:sz="0" w:space="0" w:color="auto"/>
      </w:divBdr>
      <w:divsChild>
        <w:div w:id="752315399">
          <w:marLeft w:val="0"/>
          <w:marRight w:val="0"/>
          <w:marTop w:val="0"/>
          <w:marBottom w:val="0"/>
          <w:divBdr>
            <w:top w:val="none" w:sz="0" w:space="0" w:color="auto"/>
            <w:left w:val="none" w:sz="0" w:space="0" w:color="auto"/>
            <w:bottom w:val="none" w:sz="0" w:space="0" w:color="auto"/>
            <w:right w:val="none" w:sz="0" w:space="0" w:color="auto"/>
          </w:divBdr>
          <w:divsChild>
            <w:div w:id="1412895379">
              <w:marLeft w:val="0"/>
              <w:marRight w:val="0"/>
              <w:marTop w:val="0"/>
              <w:marBottom w:val="0"/>
              <w:divBdr>
                <w:top w:val="none" w:sz="0" w:space="0" w:color="auto"/>
                <w:left w:val="none" w:sz="0" w:space="0" w:color="auto"/>
                <w:bottom w:val="none" w:sz="0" w:space="0" w:color="auto"/>
                <w:right w:val="none" w:sz="0" w:space="0" w:color="auto"/>
              </w:divBdr>
              <w:divsChild>
                <w:div w:id="4790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7100">
      <w:bodyDiv w:val="1"/>
      <w:marLeft w:val="0"/>
      <w:marRight w:val="0"/>
      <w:marTop w:val="0"/>
      <w:marBottom w:val="0"/>
      <w:divBdr>
        <w:top w:val="none" w:sz="0" w:space="0" w:color="auto"/>
        <w:left w:val="none" w:sz="0" w:space="0" w:color="auto"/>
        <w:bottom w:val="none" w:sz="0" w:space="0" w:color="auto"/>
        <w:right w:val="none" w:sz="0" w:space="0" w:color="auto"/>
      </w:divBdr>
      <w:divsChild>
        <w:div w:id="1835101225">
          <w:marLeft w:val="0"/>
          <w:marRight w:val="0"/>
          <w:marTop w:val="0"/>
          <w:marBottom w:val="0"/>
          <w:divBdr>
            <w:top w:val="none" w:sz="0" w:space="0" w:color="auto"/>
            <w:left w:val="none" w:sz="0" w:space="0" w:color="auto"/>
            <w:bottom w:val="none" w:sz="0" w:space="0" w:color="auto"/>
            <w:right w:val="none" w:sz="0" w:space="0" w:color="auto"/>
          </w:divBdr>
          <w:divsChild>
            <w:div w:id="1687169049">
              <w:marLeft w:val="0"/>
              <w:marRight w:val="0"/>
              <w:marTop w:val="0"/>
              <w:marBottom w:val="0"/>
              <w:divBdr>
                <w:top w:val="none" w:sz="0" w:space="0" w:color="auto"/>
                <w:left w:val="none" w:sz="0" w:space="0" w:color="auto"/>
                <w:bottom w:val="none" w:sz="0" w:space="0" w:color="auto"/>
                <w:right w:val="none" w:sz="0" w:space="0" w:color="auto"/>
              </w:divBdr>
              <w:divsChild>
                <w:div w:id="2733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1330</Words>
  <Characters>7581</Characters>
  <Application>Microsoft Office Word</Application>
  <DocSecurity>0</DocSecurity>
  <Lines>63</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Areia</dc:creator>
  <cp:lastModifiedBy>Patrícia Pessoa</cp:lastModifiedBy>
  <cp:revision>3</cp:revision>
  <cp:lastPrinted>2012-02-07T18:21:00Z</cp:lastPrinted>
  <dcterms:created xsi:type="dcterms:W3CDTF">2023-09-18T09:16:00Z</dcterms:created>
  <dcterms:modified xsi:type="dcterms:W3CDTF">2023-09-18T09:32:00Z</dcterms:modified>
</cp:coreProperties>
</file>